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41F86">
      <w:pPr>
        <w:rPr>
          <w:rFonts w:hint="eastAsia" w:ascii="方正黑体_GBK" w:hAnsi="楷体" w:eastAsia="方正黑体_GBK"/>
          <w:sz w:val="32"/>
          <w:szCs w:val="32"/>
        </w:rPr>
      </w:pPr>
      <w:r>
        <w:rPr>
          <w:rFonts w:hint="eastAsia" w:ascii="方正黑体_GBK" w:hAnsi="楷体" w:eastAsia="方正黑体_GBK"/>
          <w:sz w:val="32"/>
          <w:szCs w:val="32"/>
        </w:rPr>
        <w:t>附件1</w:t>
      </w:r>
    </w:p>
    <w:p w14:paraId="76F2A624">
      <w:pPr>
        <w:ind w:firstLine="723"/>
        <w:jc w:val="center"/>
        <w:rPr>
          <w:rFonts w:hint="default" w:asciiTheme="minorEastAsia" w:hAnsiTheme="minorEastAsia"/>
          <w:sz w:val="24"/>
          <w:szCs w:val="24"/>
        </w:rPr>
      </w:pPr>
      <w:r>
        <w:rPr>
          <w:rFonts w:hint="eastAsia" w:ascii="方正黑体_GBK" w:hAnsi="楷体" w:eastAsia="方正黑体_GBK"/>
          <w:sz w:val="36"/>
          <w:szCs w:val="36"/>
        </w:rPr>
        <w:t>202</w:t>
      </w:r>
      <w:r>
        <w:rPr>
          <w:rFonts w:hint="eastAsia" w:ascii="方正黑体_GBK" w:hAnsi="楷体" w:eastAsia="方正黑体_GBK"/>
          <w:sz w:val="36"/>
          <w:szCs w:val="36"/>
          <w:lang w:val="en-US" w:eastAsia="zh-CN"/>
        </w:rPr>
        <w:t>6</w:t>
      </w:r>
      <w:r>
        <w:rPr>
          <w:rFonts w:hint="eastAsia" w:ascii="方正黑体_GBK" w:hAnsi="楷体" w:eastAsia="方正黑体_GBK"/>
          <w:sz w:val="36"/>
          <w:szCs w:val="36"/>
        </w:rPr>
        <w:t>年“江苏省社会教育规划课题”申报指南</w:t>
      </w:r>
    </w:p>
    <w:p w14:paraId="774D41D8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eastAsiaTheme="minorEastAsia" w:cstheme="minorBidi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default" w:asciiTheme="minorEastAsia" w:hAnsiTheme="minorEastAsia" w:eastAsiaTheme="minorEastAsia" w:cstheme="minorBidi"/>
          <w:b/>
          <w:bCs/>
          <w:color w:val="auto"/>
          <w:kern w:val="2"/>
          <w:sz w:val="28"/>
          <w:szCs w:val="28"/>
          <w:lang w:val="en-US" w:eastAsia="zh-CN" w:bidi="ar-SA"/>
        </w:rPr>
        <w:t>一、学习型社会与终身学习公共服务体系建设</w:t>
      </w:r>
    </w:p>
    <w:p w14:paraId="4DFDEF63">
      <w:pPr>
        <w:pStyle w:val="13"/>
        <w:numPr>
          <w:ilvl w:val="0"/>
          <w:numId w:val="1"/>
        </w:numPr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终身学习</w:t>
      </w:r>
      <w:r>
        <w:rPr>
          <w:rFonts w:hint="eastAsia" w:asciiTheme="minorEastAsia" w:hAnsiTheme="minorEastAsia"/>
          <w:color w:val="auto"/>
          <w:sz w:val="28"/>
          <w:szCs w:val="28"/>
        </w:rPr>
        <w:t>公共服务水平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提升路径</w:t>
      </w:r>
      <w:r>
        <w:rPr>
          <w:rFonts w:hint="eastAsia" w:asciiTheme="minorEastAsia" w:hAnsiTheme="minorEastAsia"/>
          <w:color w:val="auto"/>
          <w:sz w:val="28"/>
          <w:szCs w:val="28"/>
        </w:rPr>
        <w:t>研究</w:t>
      </w:r>
    </w:p>
    <w:p w14:paraId="344B18E2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2.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 w:val="28"/>
          <w:szCs w:val="28"/>
        </w:rPr>
        <w:t>“十五五”江苏学习型城市建设实践路径与机制研究</w:t>
      </w:r>
    </w:p>
    <w:p w14:paraId="1E8DA2A7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3.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 w:val="28"/>
          <w:szCs w:val="28"/>
        </w:rPr>
        <w:t>“十五五” 江苏学习型社区建设监测评价指标研究</w:t>
      </w:r>
    </w:p>
    <w:p w14:paraId="28F85C36"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color w:val="auto"/>
          <w:sz w:val="28"/>
          <w:szCs w:val="28"/>
        </w:rPr>
        <w:t>.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Bidi"/>
          <w:color w:val="auto"/>
          <w:kern w:val="2"/>
          <w:sz w:val="28"/>
          <w:szCs w:val="28"/>
          <w:lang w:val="en-US" w:eastAsia="zh-CN" w:bidi="ar-SA"/>
        </w:rPr>
        <w:t>学习成果认证</w:t>
      </w:r>
      <w:r>
        <w:rPr>
          <w:rFonts w:hint="eastAsia" w:asciiTheme="minorEastAsia" w:hAnsiTheme="minorEastAsia" w:cstheme="minorBidi"/>
          <w:color w:val="auto"/>
          <w:kern w:val="2"/>
          <w:sz w:val="28"/>
          <w:szCs w:val="28"/>
          <w:lang w:val="en-US" w:eastAsia="zh-CN" w:bidi="ar-SA"/>
        </w:rPr>
        <w:t>制度驱动</w:t>
      </w:r>
      <w:r>
        <w:rPr>
          <w:rFonts w:hint="eastAsia" w:asciiTheme="minorEastAsia" w:hAnsiTheme="minorEastAsia" w:eastAsiaTheme="minorEastAsia" w:cstheme="minorBidi"/>
          <w:color w:val="auto"/>
          <w:kern w:val="2"/>
          <w:sz w:val="28"/>
          <w:szCs w:val="28"/>
          <w:lang w:val="en-US" w:eastAsia="zh-CN" w:bidi="ar-SA"/>
        </w:rPr>
        <w:t>终身学习高质量发展研究</w:t>
      </w:r>
    </w:p>
    <w:p w14:paraId="04EF0D00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</w:p>
    <w:p w14:paraId="478BA7E9">
      <w:pPr>
        <w:pStyle w:val="13"/>
        <w:spacing w:line="520" w:lineRule="exact"/>
        <w:ind w:firstLine="0" w:firstLineChars="0"/>
        <w:rPr>
          <w:rFonts w:hint="default" w:asciiTheme="minorEastAsia" w:hAnsi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default" w:asciiTheme="minorEastAsia" w:hAnsiTheme="minorEastAsia"/>
          <w:b/>
          <w:bCs/>
          <w:color w:val="auto"/>
          <w:sz w:val="28"/>
          <w:szCs w:val="28"/>
        </w:rPr>
        <w:t>、社区（老年）教育高质量发展</w:t>
      </w:r>
    </w:p>
    <w:p w14:paraId="06F5AFA0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color w:val="auto"/>
          <w:sz w:val="28"/>
          <w:szCs w:val="28"/>
        </w:rPr>
        <w:t xml:space="preserve">. 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“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十五五</w:t>
      </w:r>
      <w:r>
        <w:rPr>
          <w:rFonts w:hint="eastAsia" w:asciiTheme="minorEastAsia" w:hAnsiTheme="minorEastAsia"/>
          <w:color w:val="auto"/>
          <w:sz w:val="28"/>
          <w:szCs w:val="28"/>
          <w:lang w:eastAsia="zh-CN"/>
        </w:rPr>
        <w:t>”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江苏社区教育高质量发展运行机制研究</w:t>
      </w:r>
    </w:p>
    <w:p w14:paraId="1463F488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color w:val="auto"/>
          <w:sz w:val="28"/>
          <w:szCs w:val="28"/>
        </w:rPr>
        <w:t>. 县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乡</w:t>
      </w:r>
      <w:r>
        <w:rPr>
          <w:rFonts w:hint="eastAsia" w:asciiTheme="minorEastAsia" w:hAnsiTheme="minorEastAsia"/>
          <w:color w:val="auto"/>
          <w:sz w:val="28"/>
          <w:szCs w:val="28"/>
        </w:rPr>
        <w:t>社区教育机构转型发展路径与模式研究</w:t>
      </w:r>
    </w:p>
    <w:p w14:paraId="69910CAF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color w:val="auto"/>
          <w:sz w:val="28"/>
          <w:szCs w:val="28"/>
        </w:rPr>
        <w:t xml:space="preserve">. 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江苏社区教育教学工作规范构建与实施路径研究</w:t>
      </w:r>
    </w:p>
    <w:p w14:paraId="18644B94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/>
          <w:color w:val="auto"/>
          <w:sz w:val="28"/>
          <w:szCs w:val="28"/>
        </w:rPr>
        <w:t xml:space="preserve">. </w:t>
      </w:r>
      <w:r>
        <w:rPr>
          <w:rFonts w:hint="eastAsia" w:asciiTheme="minorEastAsia" w:hAnsiTheme="minorEastAsia" w:eastAsiaTheme="minorEastAsia" w:cstheme="minorBidi"/>
          <w:color w:val="auto"/>
          <w:kern w:val="2"/>
          <w:sz w:val="28"/>
          <w:szCs w:val="28"/>
          <w:lang w:val="en-US" w:eastAsia="zh-CN" w:bidi="ar-SA"/>
        </w:rPr>
        <w:t>社区教育赋能基层协同治理的机制构建与实践研究</w:t>
      </w:r>
    </w:p>
    <w:p w14:paraId="7515A2B5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/>
          <w:color w:val="auto"/>
          <w:sz w:val="28"/>
          <w:szCs w:val="28"/>
        </w:rPr>
        <w:t>. 社区（老年）教育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教师队伍建设长效机制研究</w:t>
      </w:r>
    </w:p>
    <w:p w14:paraId="0BED9867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/>
          <w:color w:val="auto"/>
          <w:sz w:val="28"/>
          <w:szCs w:val="28"/>
        </w:rPr>
        <w:t>. 社区（老年）教育助力乡村振兴实践路径研究</w:t>
      </w:r>
    </w:p>
    <w:p w14:paraId="17EDF850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</w:rPr>
        <w:t>. 高校参与社区（老年）教育服务模式研究</w:t>
      </w:r>
    </w:p>
    <w:p w14:paraId="52CE4F7E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color w:val="auto"/>
          <w:sz w:val="28"/>
          <w:szCs w:val="28"/>
        </w:rPr>
        <w:t>. 老年教育与银发经济融合发展路径研究</w:t>
      </w:r>
    </w:p>
    <w:p w14:paraId="2EEECA6C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</w:p>
    <w:p w14:paraId="646A9372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color w:val="auto"/>
          <w:sz w:val="28"/>
          <w:szCs w:val="28"/>
          <w:lang w:val="en-US" w:eastAsia="zh-CN"/>
        </w:rPr>
        <w:t>三</w:t>
      </w:r>
      <w:r>
        <w:rPr>
          <w:rFonts w:hint="default" w:asciiTheme="minorEastAsia" w:hAnsiTheme="minorEastAsia"/>
          <w:b/>
          <w:bCs/>
          <w:color w:val="auto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/>
          <w:b/>
          <w:bCs/>
          <w:color w:val="auto"/>
          <w:sz w:val="28"/>
          <w:szCs w:val="28"/>
          <w:lang w:val="en-US" w:eastAsia="zh-CN"/>
        </w:rPr>
        <w:t>社家校协同育人发展体系建设</w:t>
      </w:r>
    </w:p>
    <w:p w14:paraId="3D8721E3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/>
          <w:color w:val="auto"/>
          <w:sz w:val="28"/>
          <w:szCs w:val="28"/>
        </w:rPr>
        <w:t>.“十五五”家庭教育指导服务体系建设推进路径研究</w:t>
      </w:r>
    </w:p>
    <w:p w14:paraId="567AA5F8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14</w:t>
      </w:r>
      <w:r>
        <w:rPr>
          <w:rFonts w:hint="eastAsia" w:asciiTheme="minorEastAsia" w:hAnsiTheme="minorEastAsia"/>
          <w:color w:val="auto"/>
          <w:sz w:val="28"/>
          <w:szCs w:val="28"/>
        </w:rPr>
        <w:t>. 社家校协同育人机制创新与实践模式研究</w:t>
      </w:r>
    </w:p>
    <w:p w14:paraId="3736C3F1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15. 社家校协同育人多元评价体系的构建与实践研究</w:t>
      </w:r>
    </w:p>
    <w:p w14:paraId="5576FBCA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16. 社家校协同育人阵地育人效能提升研究</w:t>
      </w:r>
    </w:p>
    <w:p w14:paraId="2CA5572A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Bidi"/>
          <w:color w:val="auto"/>
          <w:kern w:val="2"/>
          <w:sz w:val="28"/>
          <w:szCs w:val="28"/>
          <w:lang w:val="en-US" w:eastAsia="zh-CN" w:bidi="ar-SA"/>
        </w:rPr>
      </w:pPr>
    </w:p>
    <w:p w14:paraId="7C1EEF43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</w:p>
    <w:p w14:paraId="33840E94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b/>
          <w:bCs/>
          <w:color w:val="auto"/>
          <w:sz w:val="28"/>
          <w:szCs w:val="28"/>
          <w:lang w:val="en-US" w:eastAsia="zh-CN"/>
        </w:rPr>
        <w:t>四</w:t>
      </w:r>
      <w:r>
        <w:rPr>
          <w:rFonts w:hint="default" w:asciiTheme="minorEastAsia" w:hAnsiTheme="minorEastAsia"/>
          <w:b/>
          <w:bCs/>
          <w:color w:val="auto"/>
          <w:sz w:val="28"/>
          <w:szCs w:val="28"/>
        </w:rPr>
        <w:t>、</w:t>
      </w:r>
      <w:r>
        <w:rPr>
          <w:rFonts w:hint="eastAsia" w:asciiTheme="minorEastAsia" w:hAnsiTheme="minorEastAsia"/>
          <w:b/>
          <w:bCs/>
          <w:color w:val="auto"/>
          <w:sz w:val="28"/>
          <w:szCs w:val="28"/>
          <w:lang w:val="en-US" w:eastAsia="zh-CN"/>
        </w:rPr>
        <w:t>数智赋能全民终身学习创新发展</w:t>
      </w:r>
      <w:bookmarkStart w:id="0" w:name="_GoBack"/>
      <w:bookmarkEnd w:id="0"/>
    </w:p>
    <w:p w14:paraId="1AF8D17E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17</w:t>
      </w:r>
      <w:r>
        <w:rPr>
          <w:rFonts w:hint="eastAsia" w:asciiTheme="minorEastAsia" w:hAnsiTheme="minorEastAsia"/>
          <w:color w:val="auto"/>
          <w:sz w:val="28"/>
          <w:szCs w:val="28"/>
        </w:rPr>
        <w:t>. 人工智能赋能社区（老年）教育场景应用创新研究</w:t>
      </w:r>
    </w:p>
    <w:p w14:paraId="29C2338D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/>
          <w:color w:val="auto"/>
          <w:sz w:val="28"/>
          <w:szCs w:val="28"/>
        </w:rPr>
        <w:t>. 社区（老年）教育课程建设标准与适老化研究</w:t>
      </w:r>
    </w:p>
    <w:p w14:paraId="434121C4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</w:rPr>
        <w:t>1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/>
          <w:color w:val="auto"/>
          <w:sz w:val="28"/>
          <w:szCs w:val="28"/>
        </w:rPr>
        <w:t>. 终身学习公共服务平台课程生态</w:t>
      </w: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构建</w:t>
      </w:r>
      <w:r>
        <w:rPr>
          <w:rFonts w:hint="eastAsia" w:asciiTheme="minorEastAsia" w:hAnsiTheme="minorEastAsia"/>
          <w:color w:val="auto"/>
          <w:sz w:val="28"/>
          <w:szCs w:val="28"/>
        </w:rPr>
        <w:t>研究</w:t>
      </w:r>
    </w:p>
    <w:p w14:paraId="50470FD3">
      <w:pPr>
        <w:pStyle w:val="13"/>
        <w:spacing w:line="520" w:lineRule="exact"/>
        <w:ind w:firstLine="0" w:firstLineChars="0"/>
        <w:rPr>
          <w:rFonts w:hint="eastAsia" w:asciiTheme="minorEastAsia" w:hAnsiTheme="minorEastAsia"/>
          <w:color w:val="auto"/>
          <w:sz w:val="28"/>
          <w:szCs w:val="28"/>
        </w:rPr>
      </w:pPr>
      <w:r>
        <w:rPr>
          <w:rFonts w:hint="eastAsia" w:asciiTheme="minorEastAsia" w:hAnsiTheme="minorEastAsia"/>
          <w:color w:val="auto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/>
          <w:color w:val="auto"/>
          <w:sz w:val="28"/>
          <w:szCs w:val="28"/>
        </w:rPr>
        <w:t>. 终身学习公共服务平台共建共享机制研究</w:t>
      </w:r>
    </w:p>
    <w:p w14:paraId="182E3C2F">
      <w:pPr>
        <w:pStyle w:val="13"/>
        <w:spacing w:line="520" w:lineRule="exact"/>
        <w:ind w:firstLine="0" w:firstLineChars="0"/>
        <w:rPr>
          <w:rFonts w:hint="default" w:asciiTheme="minorEastAsia" w:hAnsiTheme="minorEastAsia"/>
          <w:color w:val="auto"/>
          <w:sz w:val="28"/>
          <w:szCs w:val="28"/>
          <w:lang w:val="en-US" w:eastAsia="zh-CN"/>
        </w:rPr>
      </w:pPr>
    </w:p>
    <w:p w14:paraId="4AD95107">
      <w:pPr>
        <w:pStyle w:val="13"/>
        <w:spacing w:line="520" w:lineRule="exact"/>
        <w:ind w:firstLine="0" w:firstLineChars="0"/>
        <w:rPr>
          <w:rFonts w:hint="default" w:asciiTheme="minorEastAsia" w:hAnsiTheme="minorEastAsia" w:eastAsiaTheme="minorEastAsia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A9899B"/>
    <w:multiLevelType w:val="singleLevel"/>
    <w:tmpl w:val="C1A9899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wMjMxZWZmMzc2M2M4OGRlZTY3MTdkZjdiYzNmZDUifQ=="/>
  </w:docVars>
  <w:rsids>
    <w:rsidRoot w:val="005D237F"/>
    <w:rsid w:val="000048F0"/>
    <w:rsid w:val="0005020B"/>
    <w:rsid w:val="00073A35"/>
    <w:rsid w:val="00084F39"/>
    <w:rsid w:val="000B0A45"/>
    <w:rsid w:val="000C66D8"/>
    <w:rsid w:val="000E6029"/>
    <w:rsid w:val="00111470"/>
    <w:rsid w:val="0011389F"/>
    <w:rsid w:val="00137B7F"/>
    <w:rsid w:val="001B1244"/>
    <w:rsid w:val="001E3639"/>
    <w:rsid w:val="002140D4"/>
    <w:rsid w:val="00272AAE"/>
    <w:rsid w:val="00274ECB"/>
    <w:rsid w:val="002751C7"/>
    <w:rsid w:val="00283280"/>
    <w:rsid w:val="002B225A"/>
    <w:rsid w:val="002B28C1"/>
    <w:rsid w:val="002C4C61"/>
    <w:rsid w:val="002F3AEC"/>
    <w:rsid w:val="00300488"/>
    <w:rsid w:val="00303200"/>
    <w:rsid w:val="003105BB"/>
    <w:rsid w:val="0031433D"/>
    <w:rsid w:val="00314ECC"/>
    <w:rsid w:val="003412B8"/>
    <w:rsid w:val="00362FC5"/>
    <w:rsid w:val="00384513"/>
    <w:rsid w:val="00391FE5"/>
    <w:rsid w:val="003A0B67"/>
    <w:rsid w:val="003D54B1"/>
    <w:rsid w:val="003D7769"/>
    <w:rsid w:val="00403E87"/>
    <w:rsid w:val="004904EB"/>
    <w:rsid w:val="0049061C"/>
    <w:rsid w:val="004D0197"/>
    <w:rsid w:val="00523178"/>
    <w:rsid w:val="00530329"/>
    <w:rsid w:val="005B6F64"/>
    <w:rsid w:val="005C1D09"/>
    <w:rsid w:val="005D0093"/>
    <w:rsid w:val="005D237F"/>
    <w:rsid w:val="00640C9F"/>
    <w:rsid w:val="00643A55"/>
    <w:rsid w:val="00650B65"/>
    <w:rsid w:val="0068630D"/>
    <w:rsid w:val="006C062D"/>
    <w:rsid w:val="006C1B5F"/>
    <w:rsid w:val="006C3864"/>
    <w:rsid w:val="006D4AEB"/>
    <w:rsid w:val="006D79FA"/>
    <w:rsid w:val="00701542"/>
    <w:rsid w:val="0070577C"/>
    <w:rsid w:val="007218F9"/>
    <w:rsid w:val="00774A51"/>
    <w:rsid w:val="00785223"/>
    <w:rsid w:val="007B68E2"/>
    <w:rsid w:val="007E0D92"/>
    <w:rsid w:val="00823B6F"/>
    <w:rsid w:val="00837CAD"/>
    <w:rsid w:val="00846ED8"/>
    <w:rsid w:val="00855FDC"/>
    <w:rsid w:val="00876C8F"/>
    <w:rsid w:val="008832DA"/>
    <w:rsid w:val="008D3CD5"/>
    <w:rsid w:val="008D6AC2"/>
    <w:rsid w:val="008E204A"/>
    <w:rsid w:val="008F34BF"/>
    <w:rsid w:val="008F672D"/>
    <w:rsid w:val="00910B0C"/>
    <w:rsid w:val="009320D7"/>
    <w:rsid w:val="009610D3"/>
    <w:rsid w:val="00967C7A"/>
    <w:rsid w:val="009B6BC1"/>
    <w:rsid w:val="009C1963"/>
    <w:rsid w:val="009F69BE"/>
    <w:rsid w:val="00A14AE1"/>
    <w:rsid w:val="00A30A84"/>
    <w:rsid w:val="00A6551E"/>
    <w:rsid w:val="00AA1FDF"/>
    <w:rsid w:val="00AF000B"/>
    <w:rsid w:val="00AF16F2"/>
    <w:rsid w:val="00B06883"/>
    <w:rsid w:val="00B53322"/>
    <w:rsid w:val="00B87283"/>
    <w:rsid w:val="00BD7345"/>
    <w:rsid w:val="00BF37AD"/>
    <w:rsid w:val="00BF539C"/>
    <w:rsid w:val="00BF5E89"/>
    <w:rsid w:val="00C6348F"/>
    <w:rsid w:val="00C730B3"/>
    <w:rsid w:val="00CD019F"/>
    <w:rsid w:val="00D14488"/>
    <w:rsid w:val="00D16577"/>
    <w:rsid w:val="00D605E0"/>
    <w:rsid w:val="00DC50B4"/>
    <w:rsid w:val="00DD0E36"/>
    <w:rsid w:val="00E070B5"/>
    <w:rsid w:val="00E079B4"/>
    <w:rsid w:val="00E12FD1"/>
    <w:rsid w:val="00E660C6"/>
    <w:rsid w:val="00E72C63"/>
    <w:rsid w:val="00EB3D3A"/>
    <w:rsid w:val="00EC6B48"/>
    <w:rsid w:val="00F017DA"/>
    <w:rsid w:val="00F0755A"/>
    <w:rsid w:val="00F13C87"/>
    <w:rsid w:val="00F3469D"/>
    <w:rsid w:val="00F52D47"/>
    <w:rsid w:val="00F574EE"/>
    <w:rsid w:val="00F86414"/>
    <w:rsid w:val="08585DDB"/>
    <w:rsid w:val="0992531D"/>
    <w:rsid w:val="0AEE66AF"/>
    <w:rsid w:val="0C030754"/>
    <w:rsid w:val="0E815205"/>
    <w:rsid w:val="163D4862"/>
    <w:rsid w:val="16AC4B7F"/>
    <w:rsid w:val="170B2BB3"/>
    <w:rsid w:val="187F5606"/>
    <w:rsid w:val="1C4761AF"/>
    <w:rsid w:val="1F497BB6"/>
    <w:rsid w:val="1F5A46D7"/>
    <w:rsid w:val="20AA51EA"/>
    <w:rsid w:val="218A7D25"/>
    <w:rsid w:val="219F4623"/>
    <w:rsid w:val="278344B5"/>
    <w:rsid w:val="29A30A29"/>
    <w:rsid w:val="2ACD4988"/>
    <w:rsid w:val="30183F1E"/>
    <w:rsid w:val="314E213F"/>
    <w:rsid w:val="317C15AD"/>
    <w:rsid w:val="327A2C6E"/>
    <w:rsid w:val="35076034"/>
    <w:rsid w:val="3763389D"/>
    <w:rsid w:val="379A7209"/>
    <w:rsid w:val="37EF1A09"/>
    <w:rsid w:val="38F848ED"/>
    <w:rsid w:val="3A9B6E35"/>
    <w:rsid w:val="3BDA652C"/>
    <w:rsid w:val="3F253F62"/>
    <w:rsid w:val="41F83E97"/>
    <w:rsid w:val="429A0022"/>
    <w:rsid w:val="432A393C"/>
    <w:rsid w:val="46562740"/>
    <w:rsid w:val="4AC24D5B"/>
    <w:rsid w:val="4C60482B"/>
    <w:rsid w:val="4E816CDB"/>
    <w:rsid w:val="4F0C738D"/>
    <w:rsid w:val="4F3F4BCC"/>
    <w:rsid w:val="4FD10AF5"/>
    <w:rsid w:val="597162CA"/>
    <w:rsid w:val="5EFA0B0F"/>
    <w:rsid w:val="5F2D2C93"/>
    <w:rsid w:val="61506CE8"/>
    <w:rsid w:val="62BE3C02"/>
    <w:rsid w:val="65464AF7"/>
    <w:rsid w:val="657607C4"/>
    <w:rsid w:val="69787054"/>
    <w:rsid w:val="6B565BC3"/>
    <w:rsid w:val="6C82297D"/>
    <w:rsid w:val="6DF877D4"/>
    <w:rsid w:val="72CA7C56"/>
    <w:rsid w:val="754937FF"/>
    <w:rsid w:val="7828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77c51edb-d405-4f8f-a93b-ca265b9e37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507</Words>
  <Characters>540</Characters>
  <Lines>3</Lines>
  <Paragraphs>1</Paragraphs>
  <TotalTime>13</TotalTime>
  <ScaleCrop>false</ScaleCrop>
  <LinksUpToDate>false</LinksUpToDate>
  <CharactersWithSpaces>560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2023-03-10T07:39:00Z</dcterms:created>
  <dc:creator>任红</dc:creator>
  <cp:lastModifiedBy>RH</cp:lastModifiedBy>
  <cp:lastPrinted>2026-06-30T01:16:00Z</cp:lastPrinted>
  <dcterms:modified xsi:type="dcterms:W3CDTF">2026-07-07T07:49:34Z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508ED13D21934501AAFF75C25CF12593_12</vt:lpwstr>
  </property>
  <property fmtid="{D5CDD505-2E9C-101B-9397-08002B2CF9AE}" pid="4" name="KSOTemplateDocerSaveRecord">
    <vt:lpwstr>eyJoZGlkIjoiZWU0N2FiM2M4ZTc4NTI2ZGNmMzJkMjM4MDZmNGQwOTAiLCJ1c2VySWQiOiI0OTI5MjQxMTYifQ==</vt:lpwstr>
  </property>
</Properties>
</file>