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eastAsia="黑体" w:cs="黑体"/>
          <w:b/>
          <w:bCs/>
          <w:sz w:val="36"/>
          <w:szCs w:val="32"/>
        </w:rPr>
      </w:pPr>
      <w:r>
        <w:rPr>
          <w:rFonts w:hint="eastAsia" w:eastAsia="黑体" w:cs="黑体"/>
          <w:b/>
          <w:bCs/>
          <w:sz w:val="36"/>
          <w:szCs w:val="32"/>
        </w:rPr>
        <w:t>XX学院（教学部）</w:t>
      </w:r>
    </w:p>
    <w:p>
      <w:pPr>
        <w:snapToGrid w:val="0"/>
        <w:spacing w:after="156" w:afterLines="50" w:line="560" w:lineRule="exact"/>
        <w:jc w:val="center"/>
        <w:rPr>
          <w:rFonts w:hint="eastAsia" w:eastAsia="黑体" w:cs="黑体"/>
          <w:b/>
          <w:bCs/>
          <w:sz w:val="36"/>
          <w:szCs w:val="32"/>
        </w:rPr>
      </w:pPr>
      <w:r>
        <w:rPr>
          <w:rFonts w:eastAsia="黑体" w:cs="黑体"/>
          <w:b/>
          <w:bCs/>
          <w:sz w:val="36"/>
          <w:szCs w:val="32"/>
        </w:rPr>
        <w:t>20</w:t>
      </w:r>
      <w:r>
        <w:rPr>
          <w:rFonts w:hint="eastAsia" w:eastAsia="黑体" w:cs="黑体"/>
          <w:b/>
          <w:bCs/>
          <w:sz w:val="36"/>
          <w:szCs w:val="32"/>
        </w:rPr>
        <w:t>24年度主要工作目标责任书</w:t>
      </w:r>
    </w:p>
    <w:p>
      <w:pPr>
        <w:snapToGrid w:val="0"/>
        <w:spacing w:after="156" w:afterLines="50" w:line="400" w:lineRule="exact"/>
        <w:ind w:firstLine="480" w:firstLineChars="200"/>
        <w:rPr>
          <w:sz w:val="24"/>
        </w:rPr>
      </w:pPr>
      <w:r>
        <w:rPr>
          <w:rFonts w:hint="eastAsia"/>
          <w:sz w:val="24"/>
        </w:rPr>
        <w:t>根据学校2024年学校总的目标任务，现下达XX学院2024年度主要工作目标任务如下：</w:t>
      </w:r>
    </w:p>
    <w:tbl>
      <w:tblPr>
        <w:tblStyle w:val="8"/>
        <w:tblW w:w="10468" w:type="dxa"/>
        <w:jc w:val="center"/>
        <w:tblLayout w:type="fixed"/>
        <w:tblCellMar>
          <w:top w:w="0" w:type="dxa"/>
          <w:left w:w="108" w:type="dxa"/>
          <w:bottom w:w="0" w:type="dxa"/>
          <w:right w:w="108" w:type="dxa"/>
        </w:tblCellMar>
      </w:tblPr>
      <w:tblGrid>
        <w:gridCol w:w="1222"/>
        <w:gridCol w:w="3120"/>
        <w:gridCol w:w="4961"/>
        <w:gridCol w:w="1165"/>
      </w:tblGrid>
      <w:tr>
        <w:tblPrEx>
          <w:tblCellMar>
            <w:top w:w="0" w:type="dxa"/>
            <w:left w:w="108" w:type="dxa"/>
            <w:bottom w:w="0" w:type="dxa"/>
            <w:right w:w="108" w:type="dxa"/>
          </w:tblCellMar>
        </w:tblPrEx>
        <w:trPr>
          <w:trHeight w:val="614" w:hRule="atLeast"/>
          <w:jc w:val="center"/>
        </w:trPr>
        <w:tc>
          <w:tcPr>
            <w:tcW w:w="1222" w:type="dxa"/>
            <w:tcBorders>
              <w:top w:val="single" w:color="000000" w:sz="12" w:space="0"/>
              <w:left w:val="single" w:color="000000" w:sz="12" w:space="0"/>
              <w:bottom w:val="single" w:color="000000" w:sz="4" w:space="0"/>
              <w:right w:val="single" w:color="auto" w:sz="4" w:space="0"/>
            </w:tcBorders>
            <w:noWrap w:val="0"/>
            <w:vAlign w:val="center"/>
          </w:tcPr>
          <w:p>
            <w:pPr>
              <w:spacing w:line="240" w:lineRule="atLeast"/>
              <w:jc w:val="center"/>
              <w:rPr>
                <w:b/>
              </w:rPr>
            </w:pPr>
            <w:r>
              <w:rPr>
                <w:rFonts w:hint="eastAsia" w:cs="宋体"/>
                <w:b/>
              </w:rPr>
              <w:t>工作类别</w:t>
            </w:r>
          </w:p>
        </w:tc>
        <w:tc>
          <w:tcPr>
            <w:tcW w:w="3120" w:type="dxa"/>
            <w:tcBorders>
              <w:top w:val="single" w:color="000000" w:sz="12" w:space="0"/>
              <w:left w:val="single" w:color="auto" w:sz="4" w:space="0"/>
              <w:bottom w:val="single" w:color="000000" w:sz="4" w:space="0"/>
              <w:right w:val="single" w:color="auto" w:sz="4" w:space="0"/>
            </w:tcBorders>
            <w:noWrap w:val="0"/>
            <w:vAlign w:val="center"/>
          </w:tcPr>
          <w:p>
            <w:pPr>
              <w:spacing w:line="240" w:lineRule="atLeast"/>
              <w:jc w:val="center"/>
            </w:pPr>
            <w:r>
              <w:rPr>
                <w:rFonts w:hint="eastAsia" w:cs="宋体"/>
                <w:b/>
              </w:rPr>
              <w:t>具体内容</w:t>
            </w:r>
          </w:p>
        </w:tc>
        <w:tc>
          <w:tcPr>
            <w:tcW w:w="4961" w:type="dxa"/>
            <w:tcBorders>
              <w:top w:val="single" w:color="000000" w:sz="12" w:space="0"/>
              <w:left w:val="single" w:color="auto" w:sz="4" w:space="0"/>
              <w:bottom w:val="single" w:color="000000" w:sz="4" w:space="0"/>
            </w:tcBorders>
            <w:noWrap w:val="0"/>
            <w:vAlign w:val="center"/>
          </w:tcPr>
          <w:p>
            <w:pPr>
              <w:spacing w:line="240" w:lineRule="atLeast"/>
              <w:jc w:val="center"/>
            </w:pPr>
            <w:r>
              <w:rPr>
                <w:rFonts w:hint="eastAsia" w:cs="宋体"/>
                <w:b/>
              </w:rPr>
              <w:t>指标和任务</w:t>
            </w:r>
          </w:p>
        </w:tc>
        <w:tc>
          <w:tcPr>
            <w:tcW w:w="1165" w:type="dxa"/>
            <w:tcBorders>
              <w:top w:val="single" w:color="000000" w:sz="12" w:space="0"/>
              <w:left w:val="single" w:color="000000" w:sz="4" w:space="0"/>
              <w:bottom w:val="single" w:color="000000" w:sz="4" w:space="0"/>
              <w:right w:val="single" w:color="000000" w:sz="12" w:space="0"/>
            </w:tcBorders>
            <w:noWrap w:val="0"/>
            <w:vAlign w:val="center"/>
          </w:tcPr>
          <w:p>
            <w:pPr>
              <w:spacing w:line="240" w:lineRule="atLeast"/>
              <w:jc w:val="center"/>
            </w:pPr>
            <w:r>
              <w:rPr>
                <w:rFonts w:hint="eastAsia" w:cs="宋体"/>
                <w:b/>
              </w:rPr>
              <w:t>备注</w:t>
            </w:r>
          </w:p>
        </w:tc>
      </w:tr>
      <w:tr>
        <w:tblPrEx>
          <w:tblCellMar>
            <w:top w:w="0" w:type="dxa"/>
            <w:left w:w="108" w:type="dxa"/>
            <w:bottom w:w="0" w:type="dxa"/>
            <w:right w:w="108" w:type="dxa"/>
          </w:tblCellMar>
        </w:tblPrEx>
        <w:trPr>
          <w:trHeight w:val="454" w:hRule="atLeast"/>
          <w:jc w:val="center"/>
        </w:trPr>
        <w:tc>
          <w:tcPr>
            <w:tcW w:w="1222" w:type="dxa"/>
            <w:vMerge w:val="restart"/>
            <w:tcBorders>
              <w:top w:val="single" w:color="000000" w:sz="4" w:space="0"/>
              <w:left w:val="single" w:color="000000" w:sz="12" w:space="0"/>
            </w:tcBorders>
            <w:noWrap w:val="0"/>
            <w:vAlign w:val="center"/>
          </w:tcPr>
          <w:p>
            <w:pPr>
              <w:spacing w:line="240" w:lineRule="atLeast"/>
              <w:jc w:val="center"/>
              <w:rPr>
                <w:rFonts w:hint="eastAsia" w:cs="宋体"/>
                <w:b/>
              </w:rPr>
            </w:pPr>
            <w:r>
              <w:rPr>
                <w:rFonts w:hint="eastAsia" w:cs="宋体"/>
                <w:b/>
              </w:rPr>
              <w:t>一、教学</w:t>
            </w:r>
          </w:p>
          <w:p>
            <w:pPr>
              <w:spacing w:line="240" w:lineRule="atLeast"/>
              <w:jc w:val="center"/>
              <w:rPr>
                <w:b/>
              </w:rPr>
            </w:pPr>
            <w:r>
              <w:rPr>
                <w:rFonts w:hint="eastAsia" w:cs="宋体"/>
                <w:b/>
              </w:rPr>
              <w:t>工作</w:t>
            </w:r>
          </w:p>
        </w:tc>
        <w:tc>
          <w:tcPr>
            <w:tcW w:w="3120" w:type="dxa"/>
            <w:tcBorders>
              <w:top w:val="single" w:color="000000" w:sz="4" w:space="0"/>
              <w:left w:val="single" w:color="000000" w:sz="4" w:space="0"/>
              <w:bottom w:val="single" w:color="000000" w:sz="4" w:space="0"/>
            </w:tcBorders>
            <w:noWrap w:val="0"/>
            <w:vAlign w:val="center"/>
          </w:tcPr>
          <w:p>
            <w:pPr>
              <w:spacing w:line="240" w:lineRule="atLeast"/>
              <w:rPr>
                <w:rFonts w:hint="eastAsia" w:cs="宋体"/>
                <w:b/>
                <w:color w:val="000000"/>
              </w:rPr>
            </w:pPr>
            <w:r>
              <w:rPr>
                <w:rFonts w:hint="eastAsia" w:cs="宋体"/>
                <w:color w:val="000000"/>
                <w:kern w:val="0"/>
              </w:rPr>
              <w:t>1.</w:t>
            </w:r>
            <w:r>
              <w:rPr>
                <w:rFonts w:hint="eastAsia" w:cs="宋体"/>
                <w:kern w:val="0"/>
              </w:rPr>
              <w:t xml:space="preserve">专业平台 </w:t>
            </w:r>
          </w:p>
        </w:tc>
        <w:tc>
          <w:tcPr>
            <w:tcW w:w="4961" w:type="dxa"/>
            <w:tcBorders>
              <w:top w:val="single" w:color="000000" w:sz="4" w:space="0"/>
              <w:left w:val="single" w:color="000000" w:sz="4" w:space="0"/>
              <w:bottom w:val="single" w:color="000000" w:sz="4" w:space="0"/>
            </w:tcBorders>
            <w:noWrap w:val="0"/>
            <w:vAlign w:val="center"/>
          </w:tcPr>
          <w:p>
            <w:pPr>
              <w:spacing w:line="240" w:lineRule="atLeast"/>
              <w:jc w:val="left"/>
              <w:rPr>
                <w:rFonts w:hint="eastAsia" w:cs="宋体"/>
                <w:b/>
                <w:color w:val="000000"/>
              </w:rPr>
            </w:pPr>
            <w:r>
              <w:rPr>
                <w:rFonts w:hint="eastAsia" w:cs="宋体"/>
                <w:color w:val="000000"/>
              </w:rPr>
              <w:t>专业平台X项</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pacing w:line="240" w:lineRule="atLeast"/>
              <w:rPr>
                <w:rFonts w:hint="eastAsia" w:cs="宋体"/>
                <w:color w:val="000000"/>
              </w:rPr>
            </w:pPr>
          </w:p>
        </w:tc>
      </w:tr>
      <w:tr>
        <w:tblPrEx>
          <w:tblCellMar>
            <w:top w:w="0" w:type="dxa"/>
            <w:left w:w="108" w:type="dxa"/>
            <w:bottom w:w="0" w:type="dxa"/>
            <w:right w:w="108" w:type="dxa"/>
          </w:tblCellMar>
        </w:tblPrEx>
        <w:trPr>
          <w:trHeight w:val="454" w:hRule="atLeast"/>
          <w:jc w:val="center"/>
        </w:trPr>
        <w:tc>
          <w:tcPr>
            <w:tcW w:w="1222" w:type="dxa"/>
            <w:vMerge w:val="continue"/>
            <w:tcBorders>
              <w:left w:val="single" w:color="000000" w:sz="12"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widowControl/>
              <w:spacing w:line="240" w:lineRule="atLeast"/>
              <w:rPr>
                <w:color w:val="000000"/>
              </w:rPr>
            </w:pPr>
            <w:r>
              <w:rPr>
                <w:rFonts w:cs="宋体"/>
                <w:color w:val="000000"/>
                <w:kern w:val="0"/>
              </w:rPr>
              <w:t>2</w:t>
            </w:r>
            <w:r>
              <w:rPr>
                <w:rFonts w:hint="eastAsia" w:cs="宋体"/>
                <w:color w:val="000000"/>
                <w:kern w:val="0"/>
              </w:rPr>
              <w:t>.</w:t>
            </w:r>
            <w:r>
              <w:rPr>
                <w:rFonts w:hint="eastAsia" w:cs="宋体"/>
                <w:kern w:val="0"/>
              </w:rPr>
              <w:t>课程建设</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hint="eastAsia"/>
                <w:color w:val="000000"/>
              </w:rPr>
            </w:pPr>
            <w:r>
              <w:rPr>
                <w:rFonts w:hint="eastAsia"/>
                <w:color w:val="000000"/>
              </w:rPr>
              <w:t>省级X项</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napToGrid w:val="0"/>
              <w:spacing w:line="280" w:lineRule="exact"/>
              <w:rPr>
                <w:rFonts w:cs="宋体"/>
                <w:color w:val="000000"/>
                <w:sz w:val="16"/>
                <w:szCs w:val="15"/>
              </w:rPr>
            </w:pPr>
          </w:p>
        </w:tc>
      </w:tr>
      <w:tr>
        <w:tblPrEx>
          <w:tblCellMar>
            <w:top w:w="0" w:type="dxa"/>
            <w:left w:w="108" w:type="dxa"/>
            <w:bottom w:w="0" w:type="dxa"/>
            <w:right w:w="108" w:type="dxa"/>
          </w:tblCellMar>
        </w:tblPrEx>
        <w:trPr>
          <w:trHeight w:val="454" w:hRule="atLeast"/>
          <w:jc w:val="center"/>
        </w:trPr>
        <w:tc>
          <w:tcPr>
            <w:tcW w:w="1222" w:type="dxa"/>
            <w:vMerge w:val="continue"/>
            <w:tcBorders>
              <w:left w:val="single" w:color="000000" w:sz="12"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spacing w:line="240" w:lineRule="atLeast"/>
              <w:rPr>
                <w:rFonts w:hint="eastAsia"/>
                <w:color w:val="000000"/>
              </w:rPr>
            </w:pPr>
            <w:r>
              <w:rPr>
                <w:rFonts w:cs="宋体"/>
                <w:color w:val="000000"/>
                <w:kern w:val="0"/>
              </w:rPr>
              <w:t>3</w:t>
            </w:r>
            <w:r>
              <w:rPr>
                <w:rFonts w:hint="eastAsia" w:cs="宋体"/>
                <w:color w:val="000000"/>
                <w:kern w:val="0"/>
              </w:rPr>
              <w:t>.</w:t>
            </w:r>
            <w:r>
              <w:rPr>
                <w:rFonts w:hint="eastAsia" w:cs="宋体"/>
              </w:rPr>
              <w:t>教材建设</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cs="宋体"/>
                <w:color w:val="000000"/>
              </w:rPr>
            </w:pPr>
            <w:r>
              <w:rPr>
                <w:rFonts w:hint="eastAsia" w:cs="宋体"/>
                <w:color w:val="000000"/>
              </w:rPr>
              <w:t>省级X项</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napToGrid w:val="0"/>
              <w:spacing w:line="280" w:lineRule="exact"/>
              <w:rPr>
                <w:rFonts w:cs="宋体"/>
                <w:color w:val="000000"/>
                <w:kern w:val="0"/>
                <w:sz w:val="16"/>
                <w:szCs w:val="15"/>
              </w:rPr>
            </w:pPr>
          </w:p>
        </w:tc>
      </w:tr>
      <w:tr>
        <w:tblPrEx>
          <w:tblCellMar>
            <w:top w:w="0" w:type="dxa"/>
            <w:left w:w="108" w:type="dxa"/>
            <w:bottom w:w="0" w:type="dxa"/>
            <w:right w:w="108" w:type="dxa"/>
          </w:tblCellMar>
        </w:tblPrEx>
        <w:trPr>
          <w:trHeight w:val="454" w:hRule="atLeast"/>
          <w:jc w:val="center"/>
        </w:trPr>
        <w:tc>
          <w:tcPr>
            <w:tcW w:w="1222" w:type="dxa"/>
            <w:vMerge w:val="continue"/>
            <w:tcBorders>
              <w:left w:val="single" w:color="000000" w:sz="12"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spacing w:line="240" w:lineRule="atLeast"/>
              <w:rPr>
                <w:color w:val="000000"/>
              </w:rPr>
            </w:pPr>
            <w:r>
              <w:rPr>
                <w:rFonts w:cs="宋体"/>
                <w:color w:val="000000"/>
                <w:kern w:val="0"/>
              </w:rPr>
              <w:t>4</w:t>
            </w:r>
            <w:r>
              <w:rPr>
                <w:rFonts w:hint="eastAsia" w:cs="宋体"/>
                <w:color w:val="000000"/>
                <w:kern w:val="0"/>
              </w:rPr>
              <w:t>.</w:t>
            </w:r>
            <w:r>
              <w:rPr>
                <w:rFonts w:hint="eastAsia" w:cs="宋体"/>
              </w:rPr>
              <w:t>教学改革项目</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cs="宋体"/>
                <w:color w:val="000000"/>
              </w:rPr>
            </w:pPr>
            <w:r>
              <w:rPr>
                <w:rFonts w:hint="eastAsia" w:cs="宋体"/>
                <w:color w:val="000000"/>
              </w:rPr>
              <w:t>省级X项</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napToGrid w:val="0"/>
              <w:spacing w:line="280" w:lineRule="exact"/>
              <w:rPr>
                <w:rFonts w:cs="宋体"/>
                <w:color w:val="000000"/>
                <w:sz w:val="16"/>
                <w:szCs w:val="15"/>
              </w:rPr>
            </w:pPr>
          </w:p>
        </w:tc>
      </w:tr>
      <w:tr>
        <w:tblPrEx>
          <w:tblCellMar>
            <w:top w:w="0" w:type="dxa"/>
            <w:left w:w="108" w:type="dxa"/>
            <w:bottom w:w="0" w:type="dxa"/>
            <w:right w:w="108" w:type="dxa"/>
          </w:tblCellMar>
        </w:tblPrEx>
        <w:trPr>
          <w:trHeight w:val="454" w:hRule="atLeast"/>
          <w:jc w:val="center"/>
        </w:trPr>
        <w:tc>
          <w:tcPr>
            <w:tcW w:w="1222" w:type="dxa"/>
            <w:vMerge w:val="continue"/>
            <w:tcBorders>
              <w:left w:val="single" w:color="000000" w:sz="12"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spacing w:line="240" w:lineRule="atLeast"/>
              <w:rPr>
                <w:color w:val="000000"/>
              </w:rPr>
            </w:pPr>
            <w:r>
              <w:rPr>
                <w:rFonts w:cs="宋体"/>
                <w:color w:val="000000"/>
                <w:kern w:val="0"/>
              </w:rPr>
              <w:t>5</w:t>
            </w:r>
            <w:r>
              <w:rPr>
                <w:rFonts w:hint="eastAsia" w:cs="宋体"/>
                <w:color w:val="000000"/>
                <w:kern w:val="0"/>
              </w:rPr>
              <w:t>.</w:t>
            </w:r>
            <w:r>
              <w:rPr>
                <w:rFonts w:hint="eastAsia" w:cs="宋体"/>
                <w:kern w:val="0"/>
              </w:rPr>
              <w:t>教研论文及媒体报道</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hint="eastAsia" w:cs="宋体"/>
                <w:color w:val="000000"/>
              </w:rPr>
            </w:pPr>
            <w:r>
              <w:rPr>
                <w:rFonts w:hint="eastAsia" w:cs="宋体"/>
                <w:color w:val="000000"/>
              </w:rPr>
              <w:t>核心教研论文或省级以上媒体报道X项</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napToGrid w:val="0"/>
              <w:spacing w:line="280" w:lineRule="exact"/>
              <w:rPr>
                <w:rFonts w:hint="eastAsia" w:cs="宋体"/>
                <w:color w:val="000000"/>
                <w:sz w:val="16"/>
                <w:szCs w:val="15"/>
              </w:rPr>
            </w:pPr>
          </w:p>
        </w:tc>
      </w:tr>
      <w:tr>
        <w:tblPrEx>
          <w:tblCellMar>
            <w:top w:w="0" w:type="dxa"/>
            <w:left w:w="108" w:type="dxa"/>
            <w:bottom w:w="0" w:type="dxa"/>
            <w:right w:w="108" w:type="dxa"/>
          </w:tblCellMar>
        </w:tblPrEx>
        <w:trPr>
          <w:trHeight w:val="454" w:hRule="atLeast"/>
          <w:jc w:val="center"/>
        </w:trPr>
        <w:tc>
          <w:tcPr>
            <w:tcW w:w="1222" w:type="dxa"/>
            <w:vMerge w:val="continue"/>
            <w:tcBorders>
              <w:left w:val="single" w:color="000000" w:sz="12"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spacing w:line="240" w:lineRule="atLeast"/>
              <w:rPr>
                <w:rFonts w:cs="宋体"/>
                <w:color w:val="000000"/>
              </w:rPr>
            </w:pPr>
            <w:r>
              <w:rPr>
                <w:rFonts w:cs="宋体"/>
                <w:color w:val="000000"/>
                <w:kern w:val="0"/>
              </w:rPr>
              <w:t>6</w:t>
            </w:r>
            <w:r>
              <w:rPr>
                <w:rFonts w:hint="eastAsia" w:cs="宋体"/>
                <w:color w:val="000000"/>
                <w:kern w:val="0"/>
              </w:rPr>
              <w:t>.</w:t>
            </w:r>
            <w:r>
              <w:rPr>
                <w:rFonts w:hint="eastAsia" w:cs="宋体"/>
                <w:kern w:val="0"/>
              </w:rPr>
              <w:t>师资团队（包括基层教学组织、基层虚拟教研室、教学团队、产业教授）</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cs="宋体"/>
                <w:color w:val="000000"/>
              </w:rPr>
            </w:pPr>
            <w:r>
              <w:rPr>
                <w:rFonts w:hint="eastAsia" w:cs="宋体"/>
                <w:color w:val="000000"/>
              </w:rPr>
              <w:t>省级X项</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napToGrid w:val="0"/>
              <w:spacing w:line="280" w:lineRule="exact"/>
              <w:rPr>
                <w:rFonts w:hint="eastAsia" w:cs="宋体"/>
                <w:color w:val="000000"/>
                <w:sz w:val="16"/>
                <w:szCs w:val="15"/>
              </w:rPr>
            </w:pPr>
          </w:p>
        </w:tc>
      </w:tr>
      <w:tr>
        <w:tblPrEx>
          <w:tblCellMar>
            <w:top w:w="0" w:type="dxa"/>
            <w:left w:w="108" w:type="dxa"/>
            <w:bottom w:w="0" w:type="dxa"/>
            <w:right w:w="108" w:type="dxa"/>
          </w:tblCellMar>
        </w:tblPrEx>
        <w:trPr>
          <w:trHeight w:val="535" w:hRule="atLeast"/>
          <w:jc w:val="center"/>
        </w:trPr>
        <w:tc>
          <w:tcPr>
            <w:tcW w:w="1222" w:type="dxa"/>
            <w:vMerge w:val="continue"/>
            <w:tcBorders>
              <w:left w:val="single" w:color="000000" w:sz="12"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widowControl/>
              <w:spacing w:line="240" w:lineRule="atLeast"/>
              <w:rPr>
                <w:rFonts w:hint="eastAsia"/>
                <w:color w:val="000000"/>
              </w:rPr>
            </w:pPr>
            <w:r>
              <w:rPr>
                <w:rFonts w:cs="宋体"/>
                <w:color w:val="000000"/>
                <w:kern w:val="0"/>
              </w:rPr>
              <w:t>7</w:t>
            </w:r>
            <w:r>
              <w:rPr>
                <w:rFonts w:hint="eastAsia" w:cs="宋体"/>
                <w:color w:val="000000"/>
                <w:kern w:val="0"/>
              </w:rPr>
              <w:t>.</w:t>
            </w:r>
            <w:r>
              <w:rPr>
                <w:rFonts w:hint="eastAsia" w:cs="宋体"/>
                <w:kern w:val="0"/>
              </w:rPr>
              <w:t>教学数字化建设</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cs="宋体"/>
                <w:color w:val="000000"/>
                <w:kern w:val="0"/>
              </w:rPr>
            </w:pPr>
            <w:r>
              <w:rPr>
                <w:rFonts w:hint="eastAsia" w:cs="宋体"/>
                <w:color w:val="000000"/>
                <w:kern w:val="0"/>
              </w:rPr>
              <w:t>新增数字化课程数量达到专任教师数的X%</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napToGrid w:val="0"/>
              <w:spacing w:line="280" w:lineRule="exact"/>
              <w:rPr>
                <w:rFonts w:cs="宋体"/>
                <w:color w:val="000000"/>
                <w:kern w:val="0"/>
                <w:sz w:val="16"/>
                <w:szCs w:val="15"/>
              </w:rPr>
            </w:pPr>
          </w:p>
        </w:tc>
      </w:tr>
      <w:tr>
        <w:tblPrEx>
          <w:tblCellMar>
            <w:top w:w="0" w:type="dxa"/>
            <w:left w:w="108" w:type="dxa"/>
            <w:bottom w:w="0" w:type="dxa"/>
            <w:right w:w="108" w:type="dxa"/>
          </w:tblCellMar>
        </w:tblPrEx>
        <w:trPr>
          <w:trHeight w:val="312" w:hRule="atLeast"/>
          <w:jc w:val="center"/>
        </w:trPr>
        <w:tc>
          <w:tcPr>
            <w:tcW w:w="1222" w:type="dxa"/>
            <w:vMerge w:val="continue"/>
            <w:tcBorders>
              <w:left w:val="single" w:color="000000" w:sz="12"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widowControl/>
              <w:spacing w:line="240" w:lineRule="atLeast"/>
              <w:rPr>
                <w:color w:val="000000"/>
              </w:rPr>
            </w:pPr>
            <w:r>
              <w:rPr>
                <w:rFonts w:cs="宋体"/>
                <w:color w:val="000000"/>
                <w:kern w:val="0"/>
              </w:rPr>
              <w:t>8</w:t>
            </w:r>
            <w:r>
              <w:rPr>
                <w:rFonts w:hint="eastAsia" w:cs="宋体"/>
                <w:color w:val="000000"/>
                <w:kern w:val="0"/>
              </w:rPr>
              <w:t>.</w:t>
            </w:r>
            <w:r>
              <w:rPr>
                <w:rFonts w:hint="eastAsia" w:cs="宋体"/>
              </w:rPr>
              <w:t>实践平台建设（包含产业学院、产教融合基地、校企共建实验室）</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cs="宋体"/>
                <w:color w:val="000000"/>
                <w:kern w:val="0"/>
              </w:rPr>
            </w:pPr>
            <w:r>
              <w:rPr>
                <w:rFonts w:hint="eastAsia" w:cs="宋体"/>
              </w:rPr>
              <w:t>实践平台</w:t>
            </w:r>
            <w:r>
              <w:rPr>
                <w:rFonts w:hint="eastAsia" w:cs="宋体"/>
                <w:color w:val="000000"/>
              </w:rPr>
              <w:t>X项</w:t>
            </w:r>
            <w:r>
              <w:rPr>
                <w:rFonts w:cs="宋体"/>
                <w:color w:val="000000"/>
              </w:rPr>
              <w:t xml:space="preserve"> </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napToGrid w:val="0"/>
              <w:spacing w:line="240" w:lineRule="atLeast"/>
              <w:rPr>
                <w:rFonts w:hint="eastAsia" w:cs="宋体"/>
                <w:color w:val="000000"/>
                <w:kern w:val="0"/>
                <w:sz w:val="16"/>
              </w:rPr>
            </w:pPr>
          </w:p>
        </w:tc>
      </w:tr>
      <w:tr>
        <w:tblPrEx>
          <w:tblCellMar>
            <w:top w:w="0" w:type="dxa"/>
            <w:left w:w="108" w:type="dxa"/>
            <w:bottom w:w="0" w:type="dxa"/>
            <w:right w:w="108" w:type="dxa"/>
          </w:tblCellMar>
        </w:tblPrEx>
        <w:trPr>
          <w:trHeight w:val="312" w:hRule="atLeast"/>
          <w:jc w:val="center"/>
        </w:trPr>
        <w:tc>
          <w:tcPr>
            <w:tcW w:w="1222" w:type="dxa"/>
            <w:vMerge w:val="continue"/>
            <w:tcBorders>
              <w:left w:val="single" w:color="000000" w:sz="12"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widowControl/>
              <w:spacing w:line="240" w:lineRule="atLeast"/>
              <w:rPr>
                <w:rFonts w:hint="eastAsia" w:cs="宋体"/>
                <w:color w:val="000000"/>
                <w:kern w:val="0"/>
              </w:rPr>
            </w:pPr>
            <w:r>
              <w:rPr>
                <w:rFonts w:cs="宋体"/>
                <w:color w:val="000000"/>
                <w:kern w:val="0"/>
              </w:rPr>
              <w:t>9</w:t>
            </w:r>
            <w:r>
              <w:rPr>
                <w:rFonts w:hint="eastAsia" w:cs="宋体"/>
                <w:color w:val="000000"/>
                <w:kern w:val="0"/>
              </w:rPr>
              <w:t>.</w:t>
            </w:r>
            <w:r>
              <w:rPr>
                <w:rFonts w:hint="eastAsia" w:cs="宋体"/>
              </w:rPr>
              <w:t>优课堂计划专项（含讲课比赛、说课比赛、微课比赛、教学创新大赛等获奖情况）</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hint="eastAsia" w:cs="宋体"/>
                <w:color w:val="000000"/>
                <w:kern w:val="0"/>
              </w:rPr>
            </w:pPr>
            <w:r>
              <w:rPr>
                <w:rFonts w:hint="eastAsia" w:cs="宋体"/>
              </w:rPr>
              <w:t>优课堂计划</w:t>
            </w:r>
            <w:r>
              <w:rPr>
                <w:rFonts w:hint="eastAsia" w:cs="宋体"/>
                <w:color w:val="000000"/>
                <w:kern w:val="0"/>
              </w:rPr>
              <w:t>X项</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napToGrid w:val="0"/>
              <w:spacing w:line="240" w:lineRule="atLeast"/>
              <w:rPr>
                <w:rFonts w:hint="eastAsia" w:cs="宋体"/>
                <w:color w:val="000000"/>
                <w:kern w:val="0"/>
              </w:rPr>
            </w:pPr>
          </w:p>
        </w:tc>
      </w:tr>
      <w:tr>
        <w:tblPrEx>
          <w:tblCellMar>
            <w:top w:w="0" w:type="dxa"/>
            <w:left w:w="108" w:type="dxa"/>
            <w:bottom w:w="0" w:type="dxa"/>
            <w:right w:w="108" w:type="dxa"/>
          </w:tblCellMar>
        </w:tblPrEx>
        <w:trPr>
          <w:trHeight w:val="382" w:hRule="atLeast"/>
          <w:jc w:val="center"/>
        </w:trPr>
        <w:tc>
          <w:tcPr>
            <w:tcW w:w="1222" w:type="dxa"/>
            <w:vMerge w:val="continue"/>
            <w:tcBorders>
              <w:left w:val="single" w:color="000000" w:sz="12"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widowControl/>
              <w:spacing w:line="240" w:lineRule="atLeast"/>
              <w:rPr>
                <w:rFonts w:cs="宋体"/>
                <w:color w:val="000000"/>
                <w:kern w:val="0"/>
              </w:rPr>
            </w:pPr>
            <w:r>
              <w:rPr>
                <w:rFonts w:hint="eastAsia" w:cs="宋体"/>
                <w:color w:val="000000"/>
                <w:kern w:val="0"/>
              </w:rPr>
              <w:t>1</w:t>
            </w:r>
            <w:r>
              <w:rPr>
                <w:rFonts w:cs="宋体"/>
                <w:color w:val="000000"/>
                <w:kern w:val="0"/>
              </w:rPr>
              <w:t>0</w:t>
            </w:r>
            <w:r>
              <w:rPr>
                <w:rFonts w:hint="eastAsia" w:cs="宋体"/>
                <w:color w:val="000000"/>
                <w:kern w:val="0"/>
              </w:rPr>
              <w:t>.</w:t>
            </w:r>
            <w:r>
              <w:rPr>
                <w:rFonts w:hint="eastAsia" w:cs="宋体"/>
                <w:kern w:val="0"/>
              </w:rPr>
              <w:t>优秀毕业设计（论文）</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hint="eastAsia" w:cs="宋体"/>
                <w:color w:val="000000"/>
                <w:kern w:val="0"/>
              </w:rPr>
            </w:pPr>
            <w:r>
              <w:rPr>
                <w:rFonts w:hint="eastAsia" w:cs="宋体"/>
                <w:color w:val="000000"/>
                <w:kern w:val="0"/>
              </w:rPr>
              <w:t>当年毕业生数的X</w:t>
            </w:r>
            <w:r>
              <w:rPr>
                <w:rFonts w:hint="eastAsia" w:cs="宋体"/>
                <w:color w:val="000000"/>
              </w:rPr>
              <w:t>%</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napToGrid w:val="0"/>
              <w:spacing w:line="240" w:lineRule="atLeast"/>
              <w:rPr>
                <w:rFonts w:hint="eastAsia" w:cs="宋体"/>
                <w:color w:val="000000"/>
                <w:kern w:val="0"/>
              </w:rPr>
            </w:pPr>
          </w:p>
        </w:tc>
      </w:tr>
      <w:tr>
        <w:tblPrEx>
          <w:tblCellMar>
            <w:top w:w="0" w:type="dxa"/>
            <w:left w:w="108" w:type="dxa"/>
            <w:bottom w:w="0" w:type="dxa"/>
            <w:right w:w="108" w:type="dxa"/>
          </w:tblCellMar>
        </w:tblPrEx>
        <w:trPr>
          <w:trHeight w:val="487" w:hRule="atLeast"/>
          <w:jc w:val="center"/>
        </w:trPr>
        <w:tc>
          <w:tcPr>
            <w:tcW w:w="1222" w:type="dxa"/>
            <w:vMerge w:val="continue"/>
            <w:tcBorders>
              <w:left w:val="single" w:color="000000" w:sz="12"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widowControl/>
              <w:spacing w:line="240" w:lineRule="atLeast"/>
              <w:rPr>
                <w:rFonts w:hint="eastAsia" w:cs="宋体"/>
                <w:color w:val="000000"/>
                <w:kern w:val="0"/>
              </w:rPr>
            </w:pPr>
            <w:r>
              <w:rPr>
                <w:rFonts w:cs="宋体"/>
                <w:color w:val="000000"/>
                <w:kern w:val="0"/>
              </w:rPr>
              <w:t>1</w:t>
            </w:r>
            <w:r>
              <w:rPr>
                <w:rFonts w:hint="eastAsia" w:cs="宋体"/>
                <w:color w:val="000000"/>
                <w:kern w:val="0"/>
              </w:rPr>
              <w:t>1.其它教学成果及特色工作</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hint="eastAsia" w:cs="宋体"/>
                <w:color w:val="000000"/>
                <w:kern w:val="0"/>
              </w:rPr>
            </w:pPr>
            <w:r>
              <w:rPr>
                <w:rFonts w:hint="eastAsia" w:cs="宋体"/>
                <w:color w:val="000000"/>
                <w:kern w:val="0"/>
              </w:rPr>
              <w:t>体现学院特色的创新工作和成果，至少X项</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widowControl/>
              <w:spacing w:line="240" w:lineRule="atLeast"/>
              <w:rPr>
                <w:rFonts w:hint="eastAsia" w:cs="宋体"/>
                <w:color w:val="000000"/>
                <w:kern w:val="0"/>
                <w:sz w:val="18"/>
                <w:szCs w:val="18"/>
              </w:rPr>
            </w:pPr>
          </w:p>
        </w:tc>
      </w:tr>
      <w:tr>
        <w:tblPrEx>
          <w:tblCellMar>
            <w:top w:w="0" w:type="dxa"/>
            <w:left w:w="108" w:type="dxa"/>
            <w:bottom w:w="0" w:type="dxa"/>
            <w:right w:w="108" w:type="dxa"/>
          </w:tblCellMar>
        </w:tblPrEx>
        <w:trPr>
          <w:trHeight w:val="503" w:hRule="atLeast"/>
          <w:jc w:val="center"/>
        </w:trPr>
        <w:tc>
          <w:tcPr>
            <w:tcW w:w="1222" w:type="dxa"/>
            <w:vMerge w:val="continue"/>
            <w:tcBorders>
              <w:left w:val="single" w:color="000000" w:sz="12" w:space="0"/>
              <w:bottom w:val="single" w:color="000000" w:sz="4" w:space="0"/>
            </w:tcBorders>
            <w:noWrap w:val="0"/>
            <w:vAlign w:val="center"/>
          </w:tcPr>
          <w:p>
            <w:pPr>
              <w:snapToGrid w:val="0"/>
              <w:spacing w:line="240" w:lineRule="atLeast"/>
              <w:jc w:val="center"/>
              <w:rPr>
                <w:rFonts w:cs="宋体"/>
                <w:b/>
              </w:rPr>
            </w:pPr>
          </w:p>
        </w:tc>
        <w:tc>
          <w:tcPr>
            <w:tcW w:w="3120" w:type="dxa"/>
            <w:tcBorders>
              <w:top w:val="single" w:color="000000" w:sz="4" w:space="0"/>
              <w:left w:val="single" w:color="000000" w:sz="4" w:space="0"/>
              <w:bottom w:val="single" w:color="000000" w:sz="4" w:space="0"/>
            </w:tcBorders>
            <w:noWrap w:val="0"/>
            <w:vAlign w:val="center"/>
          </w:tcPr>
          <w:p>
            <w:pPr>
              <w:widowControl/>
              <w:spacing w:line="240" w:lineRule="atLeast"/>
              <w:rPr>
                <w:rFonts w:cs="宋体"/>
                <w:color w:val="000000"/>
                <w:kern w:val="0"/>
              </w:rPr>
            </w:pPr>
            <w:r>
              <w:rPr>
                <w:rFonts w:hint="eastAsia" w:cs="宋体"/>
                <w:color w:val="000000"/>
                <w:kern w:val="0"/>
              </w:rPr>
              <w:t>12.教学日常管理</w:t>
            </w:r>
          </w:p>
        </w:tc>
        <w:tc>
          <w:tcPr>
            <w:tcW w:w="4961" w:type="dxa"/>
            <w:tcBorders>
              <w:top w:val="single" w:color="000000" w:sz="4" w:space="0"/>
              <w:left w:val="single" w:color="000000" w:sz="4" w:space="0"/>
              <w:bottom w:val="single" w:color="000000" w:sz="4" w:space="0"/>
            </w:tcBorders>
            <w:noWrap w:val="0"/>
            <w:vAlign w:val="center"/>
          </w:tcPr>
          <w:p>
            <w:pPr>
              <w:snapToGrid w:val="0"/>
              <w:spacing w:line="240" w:lineRule="atLeast"/>
              <w:rPr>
                <w:rFonts w:hint="eastAsia" w:cs="宋体"/>
                <w:color w:val="000000"/>
                <w:kern w:val="0"/>
              </w:rPr>
            </w:pPr>
            <w:r>
              <w:rPr>
                <w:rFonts w:hint="eastAsia" w:cs="宋体"/>
                <w:color w:val="000000"/>
                <w:kern w:val="0"/>
              </w:rPr>
              <w:t>日常教学管理平稳、规范、有序，无教学管理事故</w:t>
            </w:r>
          </w:p>
        </w:tc>
        <w:tc>
          <w:tcPr>
            <w:tcW w:w="1165" w:type="dxa"/>
            <w:tcBorders>
              <w:top w:val="single" w:color="000000" w:sz="4" w:space="0"/>
              <w:left w:val="single" w:color="000000" w:sz="4" w:space="0"/>
              <w:bottom w:val="single" w:color="000000" w:sz="4" w:space="0"/>
              <w:right w:val="single" w:color="000000" w:sz="12" w:space="0"/>
            </w:tcBorders>
            <w:noWrap w:val="0"/>
            <w:vAlign w:val="center"/>
          </w:tcPr>
          <w:p>
            <w:pPr>
              <w:snapToGrid w:val="0"/>
              <w:spacing w:line="280" w:lineRule="exact"/>
              <w:rPr>
                <w:rFonts w:hint="eastAsia" w:cs="宋体"/>
                <w:color w:val="000000"/>
                <w:sz w:val="18"/>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22" w:type="dxa"/>
            <w:vMerge w:val="restart"/>
            <w:noWrap w:val="0"/>
            <w:vAlign w:val="center"/>
          </w:tcPr>
          <w:p>
            <w:pPr>
              <w:spacing w:line="240" w:lineRule="atLeast"/>
              <w:jc w:val="center"/>
              <w:rPr>
                <w:rFonts w:hint="eastAsia"/>
                <w:b/>
              </w:rPr>
            </w:pPr>
            <w:r>
              <w:rPr>
                <w:rFonts w:hint="eastAsia"/>
                <w:b/>
              </w:rPr>
              <w:t>二、创新</w:t>
            </w:r>
          </w:p>
          <w:p>
            <w:pPr>
              <w:spacing w:line="240" w:lineRule="atLeast"/>
              <w:jc w:val="center"/>
              <w:rPr>
                <w:b/>
              </w:rPr>
            </w:pPr>
            <w:r>
              <w:rPr>
                <w:rFonts w:hint="eastAsia"/>
                <w:b/>
              </w:rPr>
              <w:t>创业工作</w:t>
            </w:r>
            <w:r>
              <w:rPr>
                <w:rFonts w:hint="eastAsia"/>
                <w:color w:val="FF0000"/>
                <w:kern w:val="0"/>
              </w:rPr>
              <w:t>（</w:t>
            </w:r>
            <w:r>
              <w:rPr>
                <w:rFonts w:hint="eastAsia" w:cs="宋体"/>
                <w:color w:val="FF0000"/>
              </w:rPr>
              <w:t>马院、体育教学部无此项</w:t>
            </w:r>
            <w:r>
              <w:rPr>
                <w:rFonts w:hint="eastAsia"/>
                <w:color w:val="FF0000"/>
                <w:kern w:val="0"/>
              </w:rPr>
              <w:t>）</w:t>
            </w:r>
          </w:p>
        </w:tc>
        <w:tc>
          <w:tcPr>
            <w:tcW w:w="3120" w:type="dxa"/>
            <w:noWrap w:val="0"/>
            <w:vAlign w:val="center"/>
          </w:tcPr>
          <w:p>
            <w:pPr>
              <w:spacing w:line="240" w:lineRule="atLeast"/>
            </w:pPr>
            <w:r>
              <w:rPr>
                <w:rFonts w:hint="eastAsia" w:cs="宋体"/>
                <w:kern w:val="0"/>
              </w:rPr>
              <w:t>1.Ⅰ、Ⅱ级竞赛省级以上获奖数</w:t>
            </w:r>
          </w:p>
        </w:tc>
        <w:tc>
          <w:tcPr>
            <w:tcW w:w="4961" w:type="dxa"/>
            <w:noWrap w:val="0"/>
            <w:vAlign w:val="center"/>
          </w:tcPr>
          <w:p>
            <w:pPr>
              <w:spacing w:line="240" w:lineRule="atLeast"/>
            </w:pPr>
            <w:r>
              <w:rPr>
                <w:rFonts w:hint="eastAsia"/>
              </w:rPr>
              <w:t>≧学生数的X%(其中，</w:t>
            </w:r>
            <w:r>
              <w:rPr>
                <w:rFonts w:hint="eastAsia" w:cs="宋体"/>
                <w:kern w:val="0"/>
              </w:rPr>
              <w:t>Ⅰ级</w:t>
            </w:r>
            <w:r>
              <w:rPr>
                <w:rFonts w:hint="eastAsia"/>
              </w:rPr>
              <w:t>国奖≧学生数的X%)。</w:t>
            </w:r>
          </w:p>
        </w:tc>
        <w:tc>
          <w:tcPr>
            <w:tcW w:w="1165" w:type="dxa"/>
            <w:noWrap w:val="0"/>
            <w:vAlign w:val="center"/>
          </w:tcPr>
          <w:p>
            <w:pPr>
              <w:snapToGrid w:val="0"/>
              <w:spacing w:line="240" w:lineRule="atLeast"/>
              <w:rPr>
                <w:rFonts w:hint="eastAsia" w:cs="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cs="宋体"/>
                <w:b/>
              </w:rPr>
            </w:pPr>
          </w:p>
        </w:tc>
        <w:tc>
          <w:tcPr>
            <w:tcW w:w="3120" w:type="dxa"/>
            <w:noWrap w:val="0"/>
            <w:vAlign w:val="center"/>
          </w:tcPr>
          <w:p>
            <w:pPr>
              <w:spacing w:line="240" w:lineRule="atLeast"/>
              <w:rPr>
                <w:rFonts w:cs="宋体"/>
                <w:kern w:val="0"/>
              </w:rPr>
            </w:pPr>
            <w:r>
              <w:rPr>
                <w:rFonts w:hint="eastAsia" w:cs="宋体"/>
                <w:kern w:val="0"/>
              </w:rPr>
              <w:t>2.推荐Ⅰ级A类竞赛校内选拔赛参赛项目数</w:t>
            </w:r>
          </w:p>
        </w:tc>
        <w:tc>
          <w:tcPr>
            <w:tcW w:w="4961" w:type="dxa"/>
            <w:noWrap w:val="0"/>
            <w:vAlign w:val="center"/>
          </w:tcPr>
          <w:p>
            <w:pPr>
              <w:spacing w:line="240" w:lineRule="atLeast"/>
              <w:rPr>
                <w:rFonts w:hint="eastAsia" w:cs="宋体"/>
                <w:kern w:val="0"/>
              </w:rPr>
            </w:pPr>
            <w:r>
              <w:rPr>
                <w:rFonts w:hint="eastAsia"/>
              </w:rPr>
              <w:t>≧X项</w:t>
            </w:r>
          </w:p>
        </w:tc>
        <w:tc>
          <w:tcPr>
            <w:tcW w:w="1165" w:type="dxa"/>
            <w:noWrap w:val="0"/>
            <w:vAlign w:val="center"/>
          </w:tcPr>
          <w:p>
            <w:pPr>
              <w:snapToGrid w:val="0"/>
              <w:spacing w:line="240" w:lineRule="atLeast"/>
              <w:rPr>
                <w:rFonts w:hint="eastAsia"/>
                <w:kern w:val="0"/>
                <w:sz w:val="15"/>
              </w:rPr>
            </w:pPr>
            <w:r>
              <w:rPr>
                <w:rFonts w:hint="eastAsia"/>
                <w:kern w:val="0"/>
                <w:sz w:val="15"/>
              </w:rPr>
              <w:t>现场参赛项目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cs="宋体"/>
                <w:b/>
              </w:rPr>
            </w:pPr>
          </w:p>
        </w:tc>
        <w:tc>
          <w:tcPr>
            <w:tcW w:w="3120" w:type="dxa"/>
            <w:noWrap w:val="0"/>
            <w:vAlign w:val="center"/>
          </w:tcPr>
          <w:p>
            <w:pPr>
              <w:spacing w:line="240" w:lineRule="atLeast"/>
              <w:rPr>
                <w:rFonts w:hint="eastAsia" w:cs="宋体"/>
                <w:kern w:val="0"/>
              </w:rPr>
            </w:pPr>
            <w:r>
              <w:rPr>
                <w:rFonts w:hint="eastAsia" w:cs="宋体"/>
                <w:kern w:val="0"/>
              </w:rPr>
              <w:t>3.</w:t>
            </w:r>
            <w:r>
              <w:rPr>
                <w:kern w:val="0"/>
              </w:rPr>
              <w:t>Ⅰ级竞赛</w:t>
            </w:r>
            <w:r>
              <w:rPr>
                <w:rFonts w:hint="eastAsia"/>
                <w:kern w:val="0"/>
              </w:rPr>
              <w:t>校内选拔赛事</w:t>
            </w:r>
            <w:r>
              <w:rPr>
                <w:kern w:val="0"/>
              </w:rPr>
              <w:t>组织或</w:t>
            </w:r>
            <w:r>
              <w:rPr>
                <w:rFonts w:hint="eastAsia"/>
                <w:kern w:val="0"/>
              </w:rPr>
              <w:t>累计参与校级及以上</w:t>
            </w:r>
            <w:r>
              <w:rPr>
                <w:kern w:val="0"/>
              </w:rPr>
              <w:t>大学生创新创业学术活动</w:t>
            </w:r>
            <w:r>
              <w:rPr>
                <w:rFonts w:hint="eastAsia"/>
                <w:kern w:val="0"/>
              </w:rPr>
              <w:t>学生人数</w:t>
            </w:r>
          </w:p>
        </w:tc>
        <w:tc>
          <w:tcPr>
            <w:tcW w:w="4961" w:type="dxa"/>
            <w:noWrap w:val="0"/>
            <w:vAlign w:val="center"/>
          </w:tcPr>
          <w:p>
            <w:pPr>
              <w:spacing w:line="240" w:lineRule="atLeast"/>
            </w:pPr>
            <w:r>
              <w:rPr>
                <w:rFonts w:hint="eastAsia" w:cs="宋体"/>
              </w:rPr>
              <w:t>按竞赛责任单位考核或≧学生数X</w:t>
            </w:r>
            <w:r>
              <w:rPr>
                <w:rFonts w:hint="eastAsia"/>
              </w:rPr>
              <w:t>%</w:t>
            </w:r>
          </w:p>
        </w:tc>
        <w:tc>
          <w:tcPr>
            <w:tcW w:w="1165" w:type="dxa"/>
            <w:noWrap w:val="0"/>
            <w:vAlign w:val="center"/>
          </w:tcPr>
          <w:p>
            <w:pPr>
              <w:snapToGrid w:val="0"/>
              <w:spacing w:line="240" w:lineRule="atLeast"/>
              <w:rPr>
                <w:rFonts w:hint="eastAsia"/>
                <w:kern w:val="0"/>
                <w:sz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22" w:type="dxa"/>
            <w:vMerge w:val="continue"/>
            <w:noWrap w:val="0"/>
            <w:vAlign w:val="center"/>
          </w:tcPr>
          <w:p>
            <w:pPr>
              <w:spacing w:line="240" w:lineRule="atLeast"/>
              <w:jc w:val="center"/>
              <w:rPr>
                <w:rFonts w:hint="eastAsia" w:cs="宋体"/>
                <w:b/>
              </w:rPr>
            </w:pPr>
          </w:p>
        </w:tc>
        <w:tc>
          <w:tcPr>
            <w:tcW w:w="3120" w:type="dxa"/>
            <w:noWrap w:val="0"/>
            <w:vAlign w:val="center"/>
          </w:tcPr>
          <w:p>
            <w:pPr>
              <w:spacing w:line="240" w:lineRule="atLeast"/>
              <w:rPr>
                <w:rFonts w:hint="eastAsia" w:cs="宋体"/>
                <w:kern w:val="0"/>
              </w:rPr>
            </w:pPr>
            <w:r>
              <w:rPr>
                <w:rFonts w:hint="eastAsia" w:cs="宋体"/>
                <w:kern w:val="0"/>
              </w:rPr>
              <w:t>4.校级及以上创新创业类教学改革项目与教学研究论文数</w:t>
            </w:r>
          </w:p>
        </w:tc>
        <w:tc>
          <w:tcPr>
            <w:tcW w:w="4961" w:type="dxa"/>
            <w:noWrap w:val="0"/>
            <w:vAlign w:val="center"/>
          </w:tcPr>
          <w:p>
            <w:pPr>
              <w:spacing w:line="240" w:lineRule="atLeast"/>
              <w:rPr>
                <w:rFonts w:cs="宋体"/>
              </w:rPr>
            </w:pPr>
            <w:r>
              <w:rPr>
                <w:rFonts w:hint="eastAsia" w:cs="宋体"/>
                <w:kern w:val="0"/>
              </w:rPr>
              <w:t>≧</w:t>
            </w:r>
            <w:r>
              <w:rPr>
                <w:rFonts w:hint="eastAsia" w:cs="宋体"/>
              </w:rPr>
              <w:t>X项和</w:t>
            </w:r>
            <w:r>
              <w:rPr>
                <w:rFonts w:hint="eastAsia" w:cs="宋体"/>
                <w:kern w:val="0"/>
              </w:rPr>
              <w:t>≧</w:t>
            </w:r>
            <w:r>
              <w:rPr>
                <w:rFonts w:hint="eastAsia" w:cs="宋体"/>
              </w:rPr>
              <w:t>X篇</w:t>
            </w:r>
          </w:p>
        </w:tc>
        <w:tc>
          <w:tcPr>
            <w:tcW w:w="1165" w:type="dxa"/>
            <w:noWrap w:val="0"/>
            <w:vAlign w:val="center"/>
          </w:tcPr>
          <w:p>
            <w:pPr>
              <w:snapToGrid w:val="0"/>
              <w:spacing w:line="240" w:lineRule="atLeast"/>
              <w:rPr>
                <w:rFonts w:hint="eastAsia"/>
                <w:kern w:val="0"/>
                <w:sz w:val="15"/>
              </w:rPr>
            </w:pPr>
            <w:r>
              <w:rPr>
                <w:rFonts w:hint="eastAsia"/>
                <w:kern w:val="0"/>
                <w:sz w:val="15"/>
              </w:rPr>
              <w:t>常州工学院须为第一单位，教师须为第一署名人（作者）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22" w:type="dxa"/>
            <w:vMerge w:val="continue"/>
            <w:noWrap w:val="0"/>
            <w:vAlign w:val="center"/>
          </w:tcPr>
          <w:p>
            <w:pPr>
              <w:spacing w:line="240" w:lineRule="atLeast"/>
              <w:jc w:val="center"/>
              <w:rPr>
                <w:rFonts w:hint="eastAsia" w:cs="宋体"/>
                <w:b/>
              </w:rPr>
            </w:pPr>
          </w:p>
        </w:tc>
        <w:tc>
          <w:tcPr>
            <w:tcW w:w="3120" w:type="dxa"/>
            <w:noWrap w:val="0"/>
            <w:vAlign w:val="center"/>
          </w:tcPr>
          <w:p>
            <w:pPr>
              <w:spacing w:line="240" w:lineRule="atLeast"/>
              <w:rPr>
                <w:rFonts w:hint="eastAsia"/>
              </w:rPr>
            </w:pPr>
            <w:r>
              <w:rPr>
                <w:rFonts w:hint="eastAsia" w:cs="宋体"/>
                <w:kern w:val="0"/>
              </w:rPr>
              <w:t>5.知识产权和省级以上期刊发表创新创业类论文数</w:t>
            </w:r>
          </w:p>
        </w:tc>
        <w:tc>
          <w:tcPr>
            <w:tcW w:w="4961" w:type="dxa"/>
            <w:noWrap w:val="0"/>
            <w:vAlign w:val="center"/>
          </w:tcPr>
          <w:p>
            <w:pPr>
              <w:spacing w:line="240" w:lineRule="atLeast"/>
              <w:rPr>
                <w:rFonts w:hint="eastAsia" w:cs="宋体"/>
              </w:rPr>
            </w:pPr>
            <w:r>
              <w:rPr>
                <w:rFonts w:hint="eastAsia" w:cs="宋体"/>
              </w:rPr>
              <w:t>≧学生数的X%（PCT专利1件计5件、发明专利受理1件计1件、实用新型专利授权2件计1件、软件著作权4件计1件、外观设计专利5件计1件；省级期刊1篇计1篇、核心及以上论文1篇计5篇）</w:t>
            </w:r>
          </w:p>
        </w:tc>
        <w:tc>
          <w:tcPr>
            <w:tcW w:w="1165" w:type="dxa"/>
            <w:noWrap w:val="0"/>
            <w:vAlign w:val="center"/>
          </w:tcPr>
          <w:p>
            <w:pPr>
              <w:snapToGrid w:val="0"/>
              <w:spacing w:line="240" w:lineRule="atLeast"/>
              <w:rPr>
                <w:rFonts w:hint="eastAsia"/>
                <w:kern w:val="0"/>
                <w:sz w:val="15"/>
              </w:rPr>
            </w:pPr>
            <w:r>
              <w:rPr>
                <w:rFonts w:hint="eastAsia"/>
                <w:kern w:val="0"/>
                <w:sz w:val="15"/>
              </w:rPr>
              <w:t>常州工学院须为第一单位，学生须为第一署名人（作者）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2" w:type="dxa"/>
            <w:vMerge w:val="restart"/>
            <w:tcBorders>
              <w:top w:val="single" w:color="000000" w:sz="4" w:space="0"/>
            </w:tcBorders>
            <w:noWrap w:val="0"/>
            <w:vAlign w:val="center"/>
          </w:tcPr>
          <w:p>
            <w:pPr>
              <w:spacing w:line="240" w:lineRule="atLeast"/>
              <w:jc w:val="center"/>
              <w:rPr>
                <w:rFonts w:hint="eastAsia" w:cs="宋体"/>
                <w:b/>
              </w:rPr>
            </w:pPr>
            <w:r>
              <w:rPr>
                <w:rFonts w:hint="eastAsia" w:cs="宋体"/>
                <w:b/>
              </w:rPr>
              <w:t>三、学生</w:t>
            </w:r>
          </w:p>
          <w:p>
            <w:pPr>
              <w:spacing w:line="240" w:lineRule="atLeast"/>
              <w:jc w:val="center"/>
              <w:rPr>
                <w:rFonts w:hint="eastAsia"/>
                <w:b/>
              </w:rPr>
            </w:pPr>
            <w:r>
              <w:rPr>
                <w:rFonts w:hint="eastAsia" w:cs="宋体"/>
                <w:b/>
              </w:rPr>
              <w:t>工作</w:t>
            </w:r>
            <w:r>
              <w:rPr>
                <w:rFonts w:hint="eastAsia"/>
                <w:color w:val="FF0000"/>
                <w:kern w:val="0"/>
              </w:rPr>
              <w:t>（</w:t>
            </w:r>
            <w:r>
              <w:rPr>
                <w:rFonts w:hint="eastAsia" w:cs="宋体"/>
                <w:color w:val="FF0000"/>
              </w:rPr>
              <w:t>马院、体育教学部无此项</w:t>
            </w:r>
            <w:r>
              <w:rPr>
                <w:rFonts w:hint="eastAsia"/>
                <w:color w:val="FF0000"/>
                <w:kern w:val="0"/>
              </w:rPr>
              <w:t>）</w:t>
            </w:r>
          </w:p>
        </w:tc>
        <w:tc>
          <w:tcPr>
            <w:tcW w:w="3120" w:type="dxa"/>
            <w:tcBorders>
              <w:top w:val="single" w:color="000000" w:sz="4" w:space="0"/>
            </w:tcBorders>
            <w:noWrap w:val="0"/>
            <w:tcMar>
              <w:left w:w="20" w:type="dxa"/>
              <w:right w:w="20" w:type="dxa"/>
            </w:tcMar>
            <w:vAlign w:val="center"/>
          </w:tcPr>
          <w:p>
            <w:pPr>
              <w:widowControl/>
              <w:spacing w:line="240" w:lineRule="atLeast"/>
              <w:ind w:firstLine="121" w:firstLineChars="58"/>
              <w:rPr>
                <w:rFonts w:cs="宋体"/>
                <w:kern w:val="0"/>
              </w:rPr>
            </w:pPr>
            <w:r>
              <w:rPr>
                <w:rFonts w:hint="eastAsia" w:cs="宋体"/>
                <w:kern w:val="0"/>
              </w:rPr>
              <w:t>1.思想政治教育及队伍建设</w:t>
            </w:r>
          </w:p>
        </w:tc>
        <w:tc>
          <w:tcPr>
            <w:tcW w:w="4961" w:type="dxa"/>
            <w:tcBorders>
              <w:top w:val="single" w:color="000000" w:sz="4" w:space="0"/>
            </w:tcBorders>
            <w:noWrap w:val="0"/>
            <w:tcMar>
              <w:left w:w="20" w:type="dxa"/>
              <w:right w:w="20" w:type="dxa"/>
            </w:tcMar>
            <w:vAlign w:val="center"/>
          </w:tcPr>
          <w:p>
            <w:pPr>
              <w:spacing w:line="240" w:lineRule="atLeast"/>
              <w:ind w:left="105" w:leftChars="50"/>
              <w:rPr>
                <w:rFonts w:cs="宋体"/>
              </w:rPr>
            </w:pPr>
            <w:r>
              <w:rPr>
                <w:rFonts w:hint="eastAsia" w:cs="宋体"/>
              </w:rPr>
              <w:t>思想政治教育工作有设计、有研究、有举措、有成效；队伍建设有创新、有成果。</w:t>
            </w:r>
          </w:p>
        </w:tc>
        <w:tc>
          <w:tcPr>
            <w:tcW w:w="1165" w:type="dxa"/>
            <w:tcBorders>
              <w:top w:val="single" w:color="000000" w:sz="4" w:space="0"/>
            </w:tcBorders>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22" w:type="dxa"/>
            <w:vMerge w:val="continue"/>
            <w:noWrap w:val="0"/>
            <w:vAlign w:val="center"/>
          </w:tcPr>
          <w:p>
            <w:pPr>
              <w:spacing w:line="240" w:lineRule="atLeast"/>
              <w:jc w:val="center"/>
              <w:rPr>
                <w:b/>
              </w:rPr>
            </w:pPr>
          </w:p>
        </w:tc>
        <w:tc>
          <w:tcPr>
            <w:tcW w:w="3120" w:type="dxa"/>
            <w:noWrap w:val="0"/>
            <w:tcMar>
              <w:left w:w="20" w:type="dxa"/>
              <w:right w:w="20" w:type="dxa"/>
            </w:tcMar>
            <w:vAlign w:val="center"/>
          </w:tcPr>
          <w:p>
            <w:pPr>
              <w:widowControl/>
              <w:spacing w:line="240" w:lineRule="atLeast"/>
              <w:ind w:firstLine="121" w:firstLineChars="58"/>
              <w:rPr>
                <w:rFonts w:cs="宋体"/>
                <w:kern w:val="0"/>
              </w:rPr>
            </w:pPr>
            <w:r>
              <w:rPr>
                <w:rFonts w:hint="eastAsia" w:cs="宋体"/>
                <w:kern w:val="0"/>
              </w:rPr>
              <w:t>2.学生考研升学率</w:t>
            </w:r>
          </w:p>
        </w:tc>
        <w:tc>
          <w:tcPr>
            <w:tcW w:w="4961" w:type="dxa"/>
            <w:noWrap w:val="0"/>
            <w:tcMar>
              <w:left w:w="20" w:type="dxa"/>
              <w:right w:w="20" w:type="dxa"/>
            </w:tcMar>
            <w:vAlign w:val="center"/>
          </w:tcPr>
          <w:p>
            <w:pPr>
              <w:spacing w:line="240" w:lineRule="atLeast"/>
              <w:ind w:left="105" w:leftChars="50"/>
              <w:rPr>
                <w:rFonts w:cs="宋体"/>
              </w:rPr>
            </w:pPr>
            <w:r>
              <w:rPr>
                <w:rFonts w:hint="eastAsia" w:cs="宋体"/>
              </w:rPr>
              <w:t>≧当年毕业生数的X%(按统招生计)</w:t>
            </w:r>
            <w:r>
              <w:rPr>
                <w:rFonts w:cs="宋体"/>
              </w:rPr>
              <w:t xml:space="preserve"> </w:t>
            </w:r>
          </w:p>
        </w:tc>
        <w:tc>
          <w:tcPr>
            <w:tcW w:w="1165" w:type="dxa"/>
            <w:noWrap w:val="0"/>
            <w:tcMar>
              <w:left w:w="20" w:type="dxa"/>
              <w:right w:w="20" w:type="dxa"/>
            </w:tcMar>
            <w:vAlign w:val="center"/>
          </w:tcPr>
          <w:p>
            <w:pPr>
              <w:spacing w:line="240" w:lineRule="atLeast"/>
              <w:rPr>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22" w:type="dxa"/>
            <w:vMerge w:val="continue"/>
            <w:noWrap w:val="0"/>
            <w:vAlign w:val="center"/>
          </w:tcPr>
          <w:p>
            <w:pPr>
              <w:spacing w:line="240" w:lineRule="atLeast"/>
              <w:jc w:val="center"/>
              <w:rPr>
                <w:b/>
              </w:rPr>
            </w:pPr>
          </w:p>
        </w:tc>
        <w:tc>
          <w:tcPr>
            <w:tcW w:w="3120" w:type="dxa"/>
            <w:noWrap w:val="0"/>
            <w:tcMar>
              <w:left w:w="20" w:type="dxa"/>
              <w:right w:w="20" w:type="dxa"/>
            </w:tcMar>
            <w:vAlign w:val="center"/>
          </w:tcPr>
          <w:p>
            <w:pPr>
              <w:widowControl/>
              <w:spacing w:line="240" w:lineRule="atLeast"/>
              <w:ind w:firstLine="121" w:firstLineChars="58"/>
              <w:rPr>
                <w:rFonts w:cs="宋体"/>
                <w:kern w:val="0"/>
              </w:rPr>
            </w:pPr>
            <w:r>
              <w:rPr>
                <w:rFonts w:hint="eastAsia" w:cs="宋体"/>
                <w:kern w:val="0"/>
              </w:rPr>
              <w:t>3.毕业去向落实率（初次、年终）</w:t>
            </w:r>
          </w:p>
        </w:tc>
        <w:tc>
          <w:tcPr>
            <w:tcW w:w="4961" w:type="dxa"/>
            <w:noWrap w:val="0"/>
            <w:tcMar>
              <w:left w:w="20" w:type="dxa"/>
              <w:right w:w="20" w:type="dxa"/>
            </w:tcMar>
            <w:vAlign w:val="center"/>
          </w:tcPr>
          <w:p>
            <w:pPr>
              <w:spacing w:line="240" w:lineRule="atLeast"/>
              <w:ind w:left="105" w:leftChars="50"/>
              <w:rPr>
                <w:rFonts w:cs="宋体"/>
              </w:rPr>
            </w:pPr>
            <w:r>
              <w:rPr>
                <w:rFonts w:hint="eastAsia" w:cs="宋体"/>
              </w:rPr>
              <w:t>初次毕业去向落实率≧X%，各专业初次毕业去向落实率≧X%；年终毕业去向落实率≧X%。</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22" w:type="dxa"/>
            <w:vMerge w:val="continue"/>
            <w:noWrap w:val="0"/>
            <w:vAlign w:val="center"/>
          </w:tcPr>
          <w:p>
            <w:pPr>
              <w:spacing w:line="240" w:lineRule="atLeast"/>
              <w:jc w:val="center"/>
              <w:rPr>
                <w:b/>
              </w:rPr>
            </w:pPr>
          </w:p>
        </w:tc>
        <w:tc>
          <w:tcPr>
            <w:tcW w:w="3120" w:type="dxa"/>
            <w:noWrap w:val="0"/>
            <w:tcMar>
              <w:left w:w="20" w:type="dxa"/>
              <w:right w:w="20" w:type="dxa"/>
            </w:tcMar>
            <w:vAlign w:val="center"/>
          </w:tcPr>
          <w:p>
            <w:pPr>
              <w:widowControl/>
              <w:spacing w:line="240" w:lineRule="atLeast"/>
              <w:ind w:firstLine="121" w:firstLineChars="58"/>
              <w:rPr>
                <w:rFonts w:hint="eastAsia" w:cs="宋体"/>
                <w:kern w:val="0"/>
              </w:rPr>
            </w:pPr>
            <w:r>
              <w:rPr>
                <w:rFonts w:hint="eastAsia" w:cs="宋体"/>
                <w:kern w:val="0"/>
              </w:rPr>
              <w:t>4.毕业生留常就业比例</w:t>
            </w:r>
          </w:p>
        </w:tc>
        <w:tc>
          <w:tcPr>
            <w:tcW w:w="4961" w:type="dxa"/>
            <w:noWrap w:val="0"/>
            <w:tcMar>
              <w:left w:w="20" w:type="dxa"/>
              <w:right w:w="20" w:type="dxa"/>
            </w:tcMar>
            <w:vAlign w:val="center"/>
          </w:tcPr>
          <w:p>
            <w:pPr>
              <w:spacing w:line="240" w:lineRule="atLeast"/>
              <w:ind w:left="105" w:leftChars="50"/>
              <w:rPr>
                <w:rFonts w:hint="eastAsia" w:cs="宋体"/>
              </w:rPr>
            </w:pPr>
            <w:r>
              <w:rPr>
                <w:rFonts w:hint="eastAsia" w:cs="宋体"/>
              </w:rPr>
              <w:t>≧当年毕业生数的X%</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22" w:type="dxa"/>
            <w:vMerge w:val="continue"/>
            <w:noWrap w:val="0"/>
            <w:vAlign w:val="center"/>
          </w:tcPr>
          <w:p>
            <w:pPr>
              <w:spacing w:line="240" w:lineRule="atLeast"/>
              <w:jc w:val="center"/>
              <w:rPr>
                <w:b/>
              </w:rPr>
            </w:pPr>
          </w:p>
        </w:tc>
        <w:tc>
          <w:tcPr>
            <w:tcW w:w="3120" w:type="dxa"/>
            <w:noWrap w:val="0"/>
            <w:tcMar>
              <w:left w:w="20" w:type="dxa"/>
              <w:right w:w="20" w:type="dxa"/>
            </w:tcMar>
            <w:vAlign w:val="center"/>
          </w:tcPr>
          <w:p>
            <w:pPr>
              <w:widowControl/>
              <w:spacing w:line="240" w:lineRule="atLeast"/>
              <w:ind w:firstLine="121" w:firstLineChars="58"/>
              <w:rPr>
                <w:rFonts w:cs="宋体"/>
                <w:kern w:val="0"/>
              </w:rPr>
            </w:pPr>
            <w:r>
              <w:rPr>
                <w:rFonts w:hint="eastAsia" w:cs="宋体"/>
                <w:kern w:val="0"/>
              </w:rPr>
              <w:t>5.日常管理</w:t>
            </w:r>
          </w:p>
        </w:tc>
        <w:tc>
          <w:tcPr>
            <w:tcW w:w="4961" w:type="dxa"/>
            <w:noWrap w:val="0"/>
            <w:tcMar>
              <w:left w:w="20" w:type="dxa"/>
              <w:right w:w="20" w:type="dxa"/>
            </w:tcMar>
            <w:vAlign w:val="center"/>
          </w:tcPr>
          <w:p>
            <w:pPr>
              <w:spacing w:line="240" w:lineRule="atLeast"/>
              <w:ind w:left="105" w:leftChars="50"/>
              <w:rPr>
                <w:kern w:val="0"/>
              </w:rPr>
            </w:pPr>
            <w:r>
              <w:rPr>
                <w:rFonts w:hint="eastAsia" w:cs="宋体"/>
                <w:color w:val="000000"/>
                <w:kern w:val="0"/>
              </w:rPr>
              <w:t>日常管理平稳、规范、有序，无管理事故发生。</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22" w:type="dxa"/>
            <w:vMerge w:val="restart"/>
            <w:noWrap w:val="0"/>
            <w:vAlign w:val="center"/>
          </w:tcPr>
          <w:p>
            <w:pPr>
              <w:spacing w:line="240" w:lineRule="atLeast"/>
              <w:jc w:val="center"/>
              <w:rPr>
                <w:rFonts w:hint="eastAsia"/>
                <w:b/>
              </w:rPr>
            </w:pPr>
            <w:r>
              <w:rPr>
                <w:rFonts w:hint="eastAsia"/>
                <w:b/>
              </w:rPr>
              <w:t>四、学科</w:t>
            </w:r>
          </w:p>
          <w:p>
            <w:pPr>
              <w:spacing w:line="240" w:lineRule="atLeast"/>
              <w:jc w:val="center"/>
              <w:rPr>
                <w:rFonts w:hint="eastAsia"/>
                <w:b/>
              </w:rPr>
            </w:pPr>
            <w:r>
              <w:rPr>
                <w:rFonts w:hint="eastAsia"/>
                <w:b/>
              </w:rPr>
              <w:t>建设与</w:t>
            </w:r>
          </w:p>
          <w:p>
            <w:pPr>
              <w:spacing w:line="240" w:lineRule="atLeast"/>
              <w:jc w:val="center"/>
              <w:rPr>
                <w:rFonts w:hint="eastAsia"/>
                <w:b/>
              </w:rPr>
            </w:pPr>
            <w:r>
              <w:rPr>
                <w:rFonts w:hint="eastAsia"/>
                <w:b/>
              </w:rPr>
              <w:t>科研工作</w:t>
            </w:r>
            <w:r>
              <w:rPr>
                <w:rFonts w:hint="eastAsia"/>
                <w:color w:val="FF0000"/>
              </w:rPr>
              <w:t>(</w:t>
            </w:r>
            <w:r>
              <w:rPr>
                <w:bCs/>
                <w:color w:val="FF0000"/>
              </w:rPr>
              <w:t>理工类学院按此考核</w:t>
            </w:r>
            <w:r>
              <w:rPr>
                <w:rFonts w:hint="eastAsia"/>
                <w:bCs/>
                <w:color w:val="FF0000"/>
              </w:rPr>
              <w:t>）</w:t>
            </w:r>
          </w:p>
        </w:tc>
        <w:tc>
          <w:tcPr>
            <w:tcW w:w="3120" w:type="dxa"/>
            <w:noWrap w:val="0"/>
            <w:tcMar>
              <w:left w:w="20" w:type="dxa"/>
              <w:right w:w="20" w:type="dxa"/>
            </w:tcMar>
            <w:vAlign w:val="center"/>
          </w:tcPr>
          <w:p>
            <w:pPr>
              <w:rPr>
                <w:rFonts w:cs="宋体"/>
              </w:rPr>
            </w:pPr>
            <w:r>
              <w:rPr>
                <w:rFonts w:hint="eastAsia" w:cs="宋体"/>
              </w:rPr>
              <w:t>1.国家级科研项目（项）</w:t>
            </w:r>
          </w:p>
        </w:tc>
        <w:tc>
          <w:tcPr>
            <w:tcW w:w="4961" w:type="dxa"/>
            <w:noWrap w:val="0"/>
            <w:tcMar>
              <w:left w:w="20" w:type="dxa"/>
              <w:right w:w="20" w:type="dxa"/>
            </w:tcMar>
            <w:vAlign w:val="center"/>
          </w:tcPr>
          <w:p>
            <w:pPr>
              <w:jc w:val="center"/>
              <w:rPr>
                <w:rFonts w:cs="宋体"/>
              </w:rPr>
            </w:pPr>
          </w:p>
        </w:tc>
        <w:tc>
          <w:tcPr>
            <w:tcW w:w="1165" w:type="dxa"/>
            <w:vMerge w:val="restart"/>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rPr>
                <w:rFonts w:cs="宋体"/>
              </w:rPr>
            </w:pPr>
            <w:r>
              <w:rPr>
                <w:rFonts w:hint="eastAsia" w:cs="宋体"/>
              </w:rPr>
              <w:t>2.科研成果奖（项）-省部级政府奖</w:t>
            </w:r>
          </w:p>
        </w:tc>
        <w:tc>
          <w:tcPr>
            <w:tcW w:w="4961" w:type="dxa"/>
            <w:noWrap w:val="0"/>
            <w:tcMar>
              <w:left w:w="20" w:type="dxa"/>
              <w:right w:w="20" w:type="dxa"/>
            </w:tcMar>
            <w:vAlign w:val="center"/>
          </w:tcPr>
          <w:p>
            <w:pPr>
              <w:jc w:val="center"/>
              <w:rPr>
                <w:rFonts w:cs="宋体"/>
              </w:rPr>
            </w:pPr>
          </w:p>
        </w:tc>
        <w:tc>
          <w:tcPr>
            <w:tcW w:w="1165" w:type="dxa"/>
            <w:vMerge w:val="continue"/>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rPr>
                <w:rFonts w:hint="eastAsia" w:cs="宋体"/>
              </w:rPr>
            </w:pPr>
            <w:r>
              <w:rPr>
                <w:rFonts w:cs="宋体"/>
              </w:rPr>
              <w:t>3</w:t>
            </w:r>
            <w:r>
              <w:rPr>
                <w:rFonts w:hint="eastAsia" w:cs="宋体"/>
              </w:rPr>
              <w:t>.科研成果奖（项）-国家一级行业协会奖</w:t>
            </w:r>
          </w:p>
        </w:tc>
        <w:tc>
          <w:tcPr>
            <w:tcW w:w="4961" w:type="dxa"/>
            <w:noWrap w:val="0"/>
            <w:tcMar>
              <w:left w:w="20" w:type="dxa"/>
              <w:right w:w="20" w:type="dxa"/>
            </w:tcMar>
            <w:vAlign w:val="center"/>
          </w:tcPr>
          <w:p>
            <w:pPr>
              <w:jc w:val="center"/>
              <w:rPr>
                <w:rFonts w:cs="宋体"/>
              </w:rPr>
            </w:pPr>
          </w:p>
        </w:tc>
        <w:tc>
          <w:tcPr>
            <w:tcW w:w="1165" w:type="dxa"/>
            <w:vMerge w:val="continue"/>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rPr>
                <w:rFonts w:hint="eastAsia" w:cs="宋体"/>
              </w:rPr>
            </w:pPr>
            <w:r>
              <w:rPr>
                <w:rFonts w:cs="宋体"/>
              </w:rPr>
              <w:t>4.</w:t>
            </w:r>
            <w:r>
              <w:rPr>
                <w:rFonts w:hint="eastAsia"/>
              </w:rPr>
              <w:t>横向科研到账经费（万元）</w:t>
            </w:r>
          </w:p>
        </w:tc>
        <w:tc>
          <w:tcPr>
            <w:tcW w:w="4961" w:type="dxa"/>
            <w:noWrap w:val="0"/>
            <w:tcMar>
              <w:left w:w="20" w:type="dxa"/>
              <w:right w:w="20" w:type="dxa"/>
            </w:tcMar>
            <w:vAlign w:val="center"/>
          </w:tcPr>
          <w:p>
            <w:pPr>
              <w:jc w:val="center"/>
              <w:rPr>
                <w:rFonts w:cs="宋体"/>
              </w:rPr>
            </w:pPr>
          </w:p>
        </w:tc>
        <w:tc>
          <w:tcPr>
            <w:tcW w:w="1165" w:type="dxa"/>
            <w:vMerge w:val="continue"/>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rPr>
                <w:rFonts w:cs="宋体"/>
              </w:rPr>
            </w:pPr>
            <w:r>
              <w:rPr>
                <w:rFonts w:hint="eastAsia" w:cs="宋体"/>
              </w:rPr>
              <w:t>5</w:t>
            </w:r>
            <w:r>
              <w:rPr>
                <w:rFonts w:cs="宋体"/>
              </w:rPr>
              <w:t>.</w:t>
            </w:r>
            <w:r>
              <w:rPr>
                <w:rFonts w:hint="eastAsia"/>
              </w:rPr>
              <w:t>横向科研项目合同经费（万元）</w:t>
            </w:r>
          </w:p>
        </w:tc>
        <w:tc>
          <w:tcPr>
            <w:tcW w:w="4961" w:type="dxa"/>
            <w:noWrap w:val="0"/>
            <w:tcMar>
              <w:left w:w="20" w:type="dxa"/>
              <w:right w:w="20" w:type="dxa"/>
            </w:tcMar>
            <w:vAlign w:val="center"/>
          </w:tcPr>
          <w:p>
            <w:pPr>
              <w:jc w:val="center"/>
              <w:rPr>
                <w:rFonts w:cs="宋体"/>
              </w:rPr>
            </w:pPr>
          </w:p>
        </w:tc>
        <w:tc>
          <w:tcPr>
            <w:tcW w:w="1165" w:type="dxa"/>
            <w:vMerge w:val="continue"/>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noWrap w:val="0"/>
            <w:vAlign w:val="center"/>
          </w:tcPr>
          <w:p>
            <w:pPr>
              <w:spacing w:line="280" w:lineRule="exact"/>
              <w:jc w:val="center"/>
              <w:rPr>
                <w:rFonts w:hint="eastAsia"/>
                <w:b/>
              </w:rPr>
            </w:pPr>
            <w:r>
              <w:rPr>
                <w:rFonts w:hint="eastAsia"/>
                <w:b/>
              </w:rPr>
              <w:t>四、学科</w:t>
            </w:r>
          </w:p>
          <w:p>
            <w:pPr>
              <w:spacing w:line="280" w:lineRule="exact"/>
              <w:jc w:val="center"/>
              <w:rPr>
                <w:rFonts w:hint="eastAsia"/>
                <w:b/>
              </w:rPr>
            </w:pPr>
            <w:r>
              <w:rPr>
                <w:rFonts w:hint="eastAsia"/>
                <w:b/>
              </w:rPr>
              <w:t>建设与</w:t>
            </w:r>
          </w:p>
          <w:p>
            <w:pPr>
              <w:spacing w:line="240" w:lineRule="atLeast"/>
              <w:jc w:val="center"/>
              <w:rPr>
                <w:rFonts w:hint="eastAsia"/>
                <w:b/>
              </w:rPr>
            </w:pPr>
            <w:r>
              <w:rPr>
                <w:rFonts w:hint="eastAsia"/>
                <w:b/>
              </w:rPr>
              <w:t>科研工作</w:t>
            </w:r>
            <w:r>
              <w:rPr>
                <w:rFonts w:hint="eastAsia"/>
                <w:color w:val="FF0000"/>
              </w:rPr>
              <w:t>（社科</w:t>
            </w:r>
            <w:r>
              <w:rPr>
                <w:bCs/>
                <w:color w:val="FF0000"/>
              </w:rPr>
              <w:t>类学院按此考核</w:t>
            </w:r>
            <w:r>
              <w:rPr>
                <w:rFonts w:hint="eastAsia"/>
                <w:color w:val="FF0000"/>
              </w:rPr>
              <w:t>）</w:t>
            </w:r>
          </w:p>
        </w:tc>
        <w:tc>
          <w:tcPr>
            <w:tcW w:w="3120" w:type="dxa"/>
            <w:noWrap w:val="0"/>
            <w:tcMar>
              <w:left w:w="20" w:type="dxa"/>
              <w:right w:w="20" w:type="dxa"/>
            </w:tcMar>
            <w:vAlign w:val="center"/>
          </w:tcPr>
          <w:p>
            <w:pPr>
              <w:rPr>
                <w:rFonts w:hint="eastAsia"/>
              </w:rPr>
            </w:pPr>
            <w:r>
              <w:rPr>
                <w:rFonts w:hint="eastAsia"/>
              </w:rPr>
              <w:t>1</w:t>
            </w:r>
            <w:r>
              <w:t>.</w:t>
            </w:r>
            <w:r>
              <w:rPr>
                <w:rFonts w:hint="eastAsia"/>
              </w:rPr>
              <w:t>省部级及以上项目（项）</w:t>
            </w:r>
          </w:p>
        </w:tc>
        <w:tc>
          <w:tcPr>
            <w:tcW w:w="4961" w:type="dxa"/>
            <w:noWrap w:val="0"/>
            <w:tcMar>
              <w:left w:w="20" w:type="dxa"/>
              <w:right w:w="20" w:type="dxa"/>
            </w:tcMar>
            <w:vAlign w:val="center"/>
          </w:tcPr>
          <w:p>
            <w:pPr>
              <w:jc w:val="left"/>
            </w:pPr>
            <w:r>
              <w:rPr>
                <w:rFonts w:hint="eastAsia"/>
              </w:rPr>
              <w:t>X</w:t>
            </w:r>
            <w:r>
              <w:t>，其中国社科、教育部、省社科与省软科学分别按3.0、1.5、1.5、1.2的系数折算。</w:t>
            </w:r>
          </w:p>
        </w:tc>
        <w:tc>
          <w:tcPr>
            <w:tcW w:w="1165" w:type="dxa"/>
            <w:vMerge w:val="restart"/>
            <w:noWrap w:val="0"/>
            <w:tcMar>
              <w:left w:w="20" w:type="dxa"/>
              <w:right w:w="20" w:type="dxa"/>
            </w:tcMar>
            <w:vAlign w:val="center"/>
          </w:tcPr>
          <w:p>
            <w:pPr>
              <w:spacing w:line="280" w:lineRule="exact"/>
              <w:jc w:val="center"/>
              <w:rPr>
                <w:rFonts w:hint="eastAsia"/>
              </w:rPr>
            </w:pPr>
            <w:r>
              <w:rPr>
                <w:rFonts w:hint="eastAsia"/>
              </w:rPr>
              <w:t>基础项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rPr>
                <w:rFonts w:hint="eastAsia"/>
              </w:rPr>
            </w:pPr>
            <w:r>
              <w:t>2.</w:t>
            </w:r>
            <w:r>
              <w:rPr>
                <w:rFonts w:hint="eastAsia"/>
              </w:rPr>
              <w:t>高水平科研论文（篇）</w:t>
            </w:r>
          </w:p>
        </w:tc>
        <w:tc>
          <w:tcPr>
            <w:tcW w:w="4961" w:type="dxa"/>
            <w:noWrap w:val="0"/>
            <w:tcMar>
              <w:left w:w="20" w:type="dxa"/>
              <w:right w:w="20" w:type="dxa"/>
            </w:tcMar>
            <w:vAlign w:val="center"/>
          </w:tcPr>
          <w:p>
            <w:pPr>
              <w:jc w:val="left"/>
            </w:pPr>
            <w:r>
              <w:rPr>
                <w:rFonts w:hint="eastAsia"/>
              </w:rPr>
              <w:t>X</w:t>
            </w:r>
            <w:r>
              <w:t>，其中《中国社会科学》、《新华文摘》、SSCI收录重要期刊、社科类A类、社科类B类期刊、省级成果要报</w:t>
            </w:r>
            <w:r>
              <w:rPr>
                <w:rFonts w:hint="eastAsia"/>
              </w:rPr>
              <w:t>、CSSCI（含扩展版）分</w:t>
            </w:r>
            <w:r>
              <w:t>别按5.0、3.0、3.0、2.5、2.0、2.0</w:t>
            </w:r>
            <w:r>
              <w:rPr>
                <w:rFonts w:hint="eastAsia"/>
              </w:rPr>
              <w:t>、</w:t>
            </w:r>
            <w:r>
              <w:t>1.5的系数折算。</w:t>
            </w:r>
          </w:p>
        </w:tc>
        <w:tc>
          <w:tcPr>
            <w:tcW w:w="1165" w:type="dxa"/>
            <w:vMerge w:val="continue"/>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rPr>
                <w:rFonts w:hint="eastAsia"/>
              </w:rPr>
            </w:pPr>
            <w:r>
              <w:t>3.</w:t>
            </w:r>
            <w:r>
              <w:rPr>
                <w:rFonts w:hint="eastAsia"/>
              </w:rPr>
              <w:t>重要出版社学术著作（部）</w:t>
            </w:r>
          </w:p>
        </w:tc>
        <w:tc>
          <w:tcPr>
            <w:tcW w:w="4961" w:type="dxa"/>
            <w:noWrap w:val="0"/>
            <w:tcMar>
              <w:left w:w="20" w:type="dxa"/>
              <w:right w:w="20" w:type="dxa"/>
            </w:tcMar>
            <w:vAlign w:val="center"/>
          </w:tcPr>
          <w:p>
            <w:pPr>
              <w:jc w:val="center"/>
            </w:pPr>
          </w:p>
        </w:tc>
        <w:tc>
          <w:tcPr>
            <w:tcW w:w="1165" w:type="dxa"/>
            <w:vMerge w:val="continue"/>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rPr>
                <w:rFonts w:hint="eastAsia"/>
              </w:rPr>
            </w:pPr>
            <w:r>
              <w:t>4.</w:t>
            </w:r>
            <w:r>
              <w:rPr>
                <w:rFonts w:hint="eastAsia"/>
              </w:rPr>
              <w:t>纵横向到账经费（万元）</w:t>
            </w:r>
          </w:p>
        </w:tc>
        <w:tc>
          <w:tcPr>
            <w:tcW w:w="4961" w:type="dxa"/>
            <w:noWrap w:val="0"/>
            <w:tcMar>
              <w:left w:w="20" w:type="dxa"/>
              <w:right w:w="20" w:type="dxa"/>
            </w:tcMar>
            <w:vAlign w:val="center"/>
          </w:tcPr>
          <w:p>
            <w:pPr>
              <w:jc w:val="center"/>
            </w:pPr>
          </w:p>
        </w:tc>
        <w:tc>
          <w:tcPr>
            <w:tcW w:w="1165" w:type="dxa"/>
            <w:vMerge w:val="continue"/>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rPr>
                <w:rFonts w:hint="eastAsia"/>
              </w:rPr>
            </w:pPr>
            <w:r>
              <w:t>5.</w:t>
            </w:r>
            <w:r>
              <w:rPr>
                <w:rFonts w:hint="eastAsia"/>
              </w:rPr>
              <w:t>院内突破加分项目</w:t>
            </w:r>
          </w:p>
        </w:tc>
        <w:tc>
          <w:tcPr>
            <w:tcW w:w="4961" w:type="dxa"/>
            <w:noWrap w:val="0"/>
            <w:tcMar>
              <w:left w:w="20" w:type="dxa"/>
              <w:right w:w="20" w:type="dxa"/>
            </w:tcMar>
            <w:vAlign w:val="center"/>
          </w:tcPr>
          <w:p>
            <w:pPr>
              <w:rPr>
                <w:rFonts w:hint="eastAsia"/>
              </w:rPr>
            </w:pPr>
            <w:r>
              <w:rPr>
                <w:rFonts w:hint="eastAsia"/>
              </w:rPr>
              <w:t>本学院在国家社科基金项目、省哲社奖、省部级以上领导肯定性批示、市主要领导肯定性批示、市厅级研究基地上的首次获得，视同完成基础项分值的5</w:t>
            </w:r>
            <w:r>
              <w:t>0%</w:t>
            </w:r>
            <w:r>
              <w:rPr>
                <w:rFonts w:hint="eastAsia"/>
              </w:rPr>
              <w:t>、5</w:t>
            </w:r>
            <w:r>
              <w:t>0%</w:t>
            </w:r>
            <w:r>
              <w:rPr>
                <w:rFonts w:hint="eastAsia"/>
              </w:rPr>
              <w:t>、</w:t>
            </w:r>
            <w:r>
              <w:t>40%</w:t>
            </w:r>
            <w:r>
              <w:rPr>
                <w:rFonts w:hint="eastAsia"/>
              </w:rPr>
              <w:t>、</w:t>
            </w:r>
            <w:r>
              <w:t>30%</w:t>
            </w:r>
            <w:r>
              <w:rPr>
                <w:rFonts w:hint="eastAsia"/>
              </w:rPr>
              <w:t>、2</w:t>
            </w:r>
            <w:r>
              <w:t>0%</w:t>
            </w:r>
            <w:r>
              <w:rPr>
                <w:rFonts w:hint="eastAsia"/>
              </w:rPr>
              <w:t>。</w:t>
            </w:r>
          </w:p>
        </w:tc>
        <w:tc>
          <w:tcPr>
            <w:tcW w:w="1165" w:type="dxa"/>
            <w:vMerge w:val="restart"/>
            <w:noWrap w:val="0"/>
            <w:tcMar>
              <w:left w:w="20" w:type="dxa"/>
              <w:right w:w="20" w:type="dxa"/>
            </w:tcMar>
            <w:vAlign w:val="center"/>
          </w:tcPr>
          <w:p>
            <w:pPr>
              <w:spacing w:line="280" w:lineRule="exact"/>
              <w:jc w:val="center"/>
              <w:rPr>
                <w:rFonts w:hint="eastAsia"/>
              </w:rPr>
            </w:pPr>
            <w:r>
              <w:rPr>
                <w:rFonts w:hint="eastAsia"/>
              </w:rPr>
              <w:t>加分项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rPr>
                <w:rFonts w:hint="eastAsia"/>
              </w:rPr>
            </w:pPr>
            <w:r>
              <w:t>6.</w:t>
            </w:r>
            <w:r>
              <w:rPr>
                <w:rFonts w:hint="eastAsia"/>
              </w:rPr>
              <w:t>校际突破加分项目</w:t>
            </w:r>
          </w:p>
        </w:tc>
        <w:tc>
          <w:tcPr>
            <w:tcW w:w="4961" w:type="dxa"/>
            <w:noWrap w:val="0"/>
            <w:tcMar>
              <w:left w:w="20" w:type="dxa"/>
              <w:right w:w="20" w:type="dxa"/>
            </w:tcMar>
            <w:vAlign w:val="center"/>
          </w:tcPr>
          <w:p>
            <w:pPr>
              <w:rPr>
                <w:rFonts w:hint="eastAsia"/>
              </w:rPr>
            </w:pPr>
            <w:r>
              <w:rPr>
                <w:rFonts w:hint="eastAsia"/>
              </w:rPr>
              <w:t>本学院获得省级人文社科研究平台、省级创新研究团队，均视同完成基础项分值的</w:t>
            </w:r>
            <w:r>
              <w:t>80%</w:t>
            </w:r>
            <w:r>
              <w:rPr>
                <w:rFonts w:hint="eastAsia"/>
              </w:rPr>
              <w:t>。</w:t>
            </w:r>
          </w:p>
        </w:tc>
        <w:tc>
          <w:tcPr>
            <w:tcW w:w="1165" w:type="dxa"/>
            <w:vMerge w:val="continue"/>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noWrap w:val="0"/>
            <w:vAlign w:val="center"/>
          </w:tcPr>
          <w:p>
            <w:pPr>
              <w:spacing w:line="240" w:lineRule="atLeast"/>
              <w:jc w:val="center"/>
              <w:rPr>
                <w:rFonts w:hint="eastAsia"/>
                <w:b/>
              </w:rPr>
            </w:pPr>
            <w:r>
              <w:rPr>
                <w:rFonts w:hint="eastAsia"/>
                <w:b/>
              </w:rPr>
              <w:t>五、师资</w:t>
            </w:r>
          </w:p>
          <w:p>
            <w:pPr>
              <w:spacing w:line="240" w:lineRule="atLeast"/>
              <w:jc w:val="center"/>
              <w:rPr>
                <w:rFonts w:hint="eastAsia"/>
                <w:b/>
              </w:rPr>
            </w:pPr>
            <w:r>
              <w:rPr>
                <w:rFonts w:hint="eastAsia"/>
                <w:b/>
              </w:rPr>
              <w:t>队伍与</w:t>
            </w:r>
          </w:p>
          <w:p>
            <w:pPr>
              <w:spacing w:line="240" w:lineRule="atLeast"/>
              <w:jc w:val="center"/>
              <w:rPr>
                <w:b/>
              </w:rPr>
            </w:pPr>
            <w:r>
              <w:rPr>
                <w:rFonts w:hint="eastAsia"/>
                <w:b/>
              </w:rPr>
              <w:t>人才工作</w:t>
            </w:r>
          </w:p>
        </w:tc>
        <w:tc>
          <w:tcPr>
            <w:tcW w:w="3120" w:type="dxa"/>
            <w:noWrap w:val="0"/>
            <w:tcMar>
              <w:left w:w="20" w:type="dxa"/>
              <w:right w:w="20" w:type="dxa"/>
            </w:tcMar>
            <w:vAlign w:val="center"/>
          </w:tcPr>
          <w:p>
            <w:pPr>
              <w:spacing w:line="240" w:lineRule="atLeast"/>
              <w:rPr>
                <w:rFonts w:hint="eastAsia"/>
                <w:kern w:val="0"/>
              </w:rPr>
            </w:pPr>
            <w:r>
              <w:rPr>
                <w:rFonts w:hint="eastAsia"/>
                <w:kern w:val="0"/>
              </w:rPr>
              <w:t>1.高层次人才引进数</w:t>
            </w:r>
          </w:p>
        </w:tc>
        <w:tc>
          <w:tcPr>
            <w:tcW w:w="4961" w:type="dxa"/>
            <w:noWrap w:val="0"/>
            <w:tcMar>
              <w:left w:w="20" w:type="dxa"/>
              <w:right w:w="20" w:type="dxa"/>
            </w:tcMar>
            <w:vAlign w:val="center"/>
          </w:tcPr>
          <w:p>
            <w:pPr>
              <w:spacing w:line="240" w:lineRule="atLeast"/>
              <w:jc w:val="center"/>
              <w:rPr>
                <w:rFonts w:cs="宋体"/>
              </w:rPr>
            </w:pPr>
          </w:p>
        </w:tc>
        <w:tc>
          <w:tcPr>
            <w:tcW w:w="1165" w:type="dxa"/>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spacing w:line="240" w:lineRule="atLeast"/>
              <w:rPr>
                <w:rFonts w:hint="eastAsia"/>
                <w:kern w:val="0"/>
              </w:rPr>
            </w:pPr>
            <w:r>
              <w:rPr>
                <w:rFonts w:hint="eastAsia"/>
                <w:kern w:val="0"/>
              </w:rPr>
              <w:t>2.“双师型”教师新增数</w:t>
            </w:r>
          </w:p>
        </w:tc>
        <w:tc>
          <w:tcPr>
            <w:tcW w:w="4961" w:type="dxa"/>
            <w:noWrap w:val="0"/>
            <w:tcMar>
              <w:left w:w="20" w:type="dxa"/>
              <w:right w:w="20" w:type="dxa"/>
            </w:tcMar>
            <w:vAlign w:val="center"/>
          </w:tcPr>
          <w:p>
            <w:pPr>
              <w:spacing w:line="240" w:lineRule="atLeast"/>
              <w:jc w:val="center"/>
              <w:rPr>
                <w:rFonts w:cs="宋体"/>
              </w:rPr>
            </w:pPr>
          </w:p>
        </w:tc>
        <w:tc>
          <w:tcPr>
            <w:tcW w:w="1165" w:type="dxa"/>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spacing w:line="240" w:lineRule="atLeast"/>
              <w:rPr>
                <w:rFonts w:hint="eastAsia"/>
                <w:kern w:val="0"/>
              </w:rPr>
            </w:pPr>
            <w:r>
              <w:rPr>
                <w:rFonts w:hint="eastAsia"/>
                <w:kern w:val="0"/>
              </w:rPr>
              <w:t>3.聘任产业教授新增数</w:t>
            </w:r>
          </w:p>
        </w:tc>
        <w:tc>
          <w:tcPr>
            <w:tcW w:w="4961" w:type="dxa"/>
            <w:noWrap w:val="0"/>
            <w:tcMar>
              <w:left w:w="20" w:type="dxa"/>
              <w:right w:w="20" w:type="dxa"/>
            </w:tcMar>
            <w:vAlign w:val="center"/>
          </w:tcPr>
          <w:p>
            <w:pPr>
              <w:spacing w:line="240" w:lineRule="atLeast"/>
              <w:jc w:val="center"/>
              <w:rPr>
                <w:rFonts w:cs="宋体"/>
              </w:rPr>
            </w:pPr>
          </w:p>
        </w:tc>
        <w:tc>
          <w:tcPr>
            <w:tcW w:w="1165" w:type="dxa"/>
            <w:noWrap w:val="0"/>
            <w:tcMar>
              <w:left w:w="20" w:type="dxa"/>
              <w:right w:w="20" w:type="dxa"/>
            </w:tcMar>
            <w:vAlign w:val="center"/>
          </w:tcPr>
          <w:p>
            <w:pPr>
              <w:spacing w:line="240" w:lineRule="atLeast"/>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noWrap w:val="0"/>
            <w:vAlign w:val="center"/>
          </w:tcPr>
          <w:p>
            <w:pPr>
              <w:spacing w:line="240" w:lineRule="atLeast"/>
              <w:jc w:val="center"/>
              <w:rPr>
                <w:rFonts w:hint="eastAsia"/>
                <w:b/>
              </w:rPr>
            </w:pPr>
            <w:r>
              <w:rPr>
                <w:rFonts w:hint="eastAsia"/>
                <w:b/>
              </w:rPr>
              <w:t>六、社会</w:t>
            </w:r>
          </w:p>
          <w:p>
            <w:pPr>
              <w:spacing w:line="240" w:lineRule="atLeast"/>
              <w:jc w:val="center"/>
              <w:rPr>
                <w:b/>
              </w:rPr>
            </w:pPr>
            <w:r>
              <w:rPr>
                <w:rFonts w:hint="eastAsia"/>
                <w:b/>
              </w:rPr>
              <w:t>服务</w:t>
            </w:r>
          </w:p>
        </w:tc>
        <w:tc>
          <w:tcPr>
            <w:tcW w:w="3120" w:type="dxa"/>
            <w:noWrap w:val="0"/>
            <w:tcMar>
              <w:left w:w="20" w:type="dxa"/>
              <w:right w:w="20" w:type="dxa"/>
            </w:tcMar>
            <w:vAlign w:val="center"/>
          </w:tcPr>
          <w:p>
            <w:pPr>
              <w:spacing w:line="240" w:lineRule="atLeast"/>
            </w:pPr>
            <w:r>
              <w:rPr>
                <w:rFonts w:hint="eastAsia"/>
              </w:rPr>
              <w:t>1.积极开展学历与非学历继续教育服务，完成继续教育到账收入（万元）</w:t>
            </w:r>
          </w:p>
        </w:tc>
        <w:tc>
          <w:tcPr>
            <w:tcW w:w="4961" w:type="dxa"/>
            <w:noWrap w:val="0"/>
            <w:tcMar>
              <w:left w:w="20" w:type="dxa"/>
              <w:right w:w="20" w:type="dxa"/>
            </w:tcMar>
            <w:vAlign w:val="center"/>
          </w:tcPr>
          <w:p>
            <w:pPr>
              <w:spacing w:line="240" w:lineRule="atLeast"/>
              <w:jc w:val="center"/>
            </w:pPr>
          </w:p>
        </w:tc>
        <w:tc>
          <w:tcPr>
            <w:tcW w:w="1165" w:type="dxa"/>
            <w:noWrap w:val="0"/>
            <w:tcMar>
              <w:left w:w="20" w:type="dxa"/>
              <w:right w:w="20" w:type="dxa"/>
            </w:tcMar>
            <w:vAlign w:val="center"/>
          </w:tcPr>
          <w:p>
            <w:pPr>
              <w:snapToGrid w:val="0"/>
              <w:spacing w:line="240" w:lineRule="atLeast"/>
              <w:rPr>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222" w:type="dxa"/>
            <w:vMerge w:val="continue"/>
            <w:noWrap w:val="0"/>
            <w:vAlign w:val="center"/>
          </w:tcPr>
          <w:p>
            <w:pPr>
              <w:spacing w:line="240" w:lineRule="atLeast"/>
              <w:jc w:val="center"/>
              <w:rPr>
                <w:b/>
              </w:rPr>
            </w:pPr>
          </w:p>
        </w:tc>
        <w:tc>
          <w:tcPr>
            <w:tcW w:w="3120" w:type="dxa"/>
            <w:noWrap w:val="0"/>
            <w:tcMar>
              <w:left w:w="20" w:type="dxa"/>
              <w:right w:w="20" w:type="dxa"/>
            </w:tcMar>
            <w:vAlign w:val="center"/>
          </w:tcPr>
          <w:p>
            <w:pPr>
              <w:spacing w:line="240" w:lineRule="atLeast"/>
            </w:pPr>
            <w:r>
              <w:rPr>
                <w:rFonts w:hint="eastAsia"/>
              </w:rPr>
              <w:t>2.积极参与学历与非学历继续教育教学建设与项目拓展</w:t>
            </w:r>
          </w:p>
        </w:tc>
        <w:tc>
          <w:tcPr>
            <w:tcW w:w="4961" w:type="dxa"/>
            <w:noWrap w:val="0"/>
            <w:tcMar>
              <w:left w:w="20" w:type="dxa"/>
              <w:right w:w="20" w:type="dxa"/>
            </w:tcMar>
            <w:vAlign w:val="center"/>
          </w:tcPr>
          <w:p>
            <w:pPr>
              <w:spacing w:line="240" w:lineRule="atLeast"/>
            </w:pPr>
            <w:r>
              <w:rPr>
                <w:rFonts w:hint="eastAsia"/>
              </w:rPr>
              <w:t>认真做好学院所属成教专业人才培养方案、教学大纲编制和专任教师选派，积极参与学历与非学历继续教育教学资源建设；积极开展校企合作办学、“助学二学历”办学，以及社区教育、社会培训等非学历教育项目拓展。</w:t>
            </w:r>
          </w:p>
        </w:tc>
        <w:tc>
          <w:tcPr>
            <w:tcW w:w="1165" w:type="dxa"/>
            <w:noWrap w:val="0"/>
            <w:tcMar>
              <w:left w:w="20" w:type="dxa"/>
              <w:right w:w="20" w:type="dxa"/>
            </w:tcMar>
            <w:vAlign w:val="center"/>
          </w:tcPr>
          <w:p>
            <w:pPr>
              <w:snapToGrid w:val="0"/>
              <w:spacing w:line="240" w:lineRule="atLeast"/>
              <w:rPr>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222" w:type="dxa"/>
            <w:vMerge w:val="continue"/>
            <w:noWrap w:val="0"/>
            <w:vAlign w:val="center"/>
          </w:tcPr>
          <w:p>
            <w:pPr>
              <w:spacing w:line="240" w:lineRule="atLeast"/>
              <w:jc w:val="center"/>
              <w:rPr>
                <w:b/>
              </w:rPr>
            </w:pPr>
          </w:p>
        </w:tc>
        <w:tc>
          <w:tcPr>
            <w:tcW w:w="3120" w:type="dxa"/>
            <w:noWrap w:val="0"/>
            <w:tcMar>
              <w:left w:w="20" w:type="dxa"/>
              <w:right w:w="20" w:type="dxa"/>
            </w:tcMar>
            <w:vAlign w:val="center"/>
          </w:tcPr>
          <w:p>
            <w:pPr>
              <w:spacing w:line="240" w:lineRule="atLeast"/>
            </w:pPr>
            <w:r>
              <w:rPr>
                <w:rFonts w:hint="eastAsia"/>
              </w:rPr>
              <w:t>3.严格按照规范要求实施学历与非学历继续教育办学</w:t>
            </w:r>
          </w:p>
        </w:tc>
        <w:tc>
          <w:tcPr>
            <w:tcW w:w="4961" w:type="dxa"/>
            <w:noWrap w:val="0"/>
            <w:tcMar>
              <w:left w:w="20" w:type="dxa"/>
              <w:right w:w="20" w:type="dxa"/>
            </w:tcMar>
            <w:vAlign w:val="center"/>
          </w:tcPr>
          <w:p>
            <w:pPr>
              <w:spacing w:line="240" w:lineRule="atLeast"/>
            </w:pPr>
            <w:r>
              <w:rPr>
                <w:rFonts w:hint="eastAsia"/>
              </w:rPr>
              <w:t>深入贯彻国家、省、市有关继续教育政策，全面落实学历与非学历教育（培训）办学规范。</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noWrap w:val="0"/>
            <w:vAlign w:val="center"/>
          </w:tcPr>
          <w:p>
            <w:pPr>
              <w:spacing w:line="240" w:lineRule="atLeast"/>
              <w:jc w:val="center"/>
              <w:rPr>
                <w:b/>
              </w:rPr>
            </w:pPr>
            <w:r>
              <w:rPr>
                <w:rFonts w:hint="eastAsia"/>
                <w:b/>
              </w:rPr>
              <w:t>七、党建与思想政治工作</w:t>
            </w:r>
          </w:p>
        </w:tc>
        <w:tc>
          <w:tcPr>
            <w:tcW w:w="3120" w:type="dxa"/>
            <w:noWrap w:val="0"/>
            <w:tcMar>
              <w:left w:w="20" w:type="dxa"/>
              <w:right w:w="20" w:type="dxa"/>
            </w:tcMar>
            <w:vAlign w:val="center"/>
          </w:tcPr>
          <w:p>
            <w:pPr>
              <w:spacing w:line="240" w:lineRule="atLeast"/>
              <w:jc w:val="center"/>
            </w:pPr>
            <w:r>
              <w:t>1.党的政治建设</w:t>
            </w:r>
          </w:p>
        </w:tc>
        <w:tc>
          <w:tcPr>
            <w:tcW w:w="4961" w:type="dxa"/>
            <w:noWrap w:val="0"/>
            <w:tcMar>
              <w:left w:w="20" w:type="dxa"/>
              <w:right w:w="20" w:type="dxa"/>
            </w:tcMar>
            <w:vAlign w:val="top"/>
          </w:tcPr>
          <w:p>
            <w:pPr>
              <w:adjustRightInd w:val="0"/>
              <w:snapToGrid w:val="0"/>
              <w:spacing w:line="300" w:lineRule="exact"/>
              <w:rPr>
                <w:rFonts w:hint="eastAsia"/>
                <w:kern w:val="0"/>
              </w:rPr>
            </w:pPr>
            <w:r>
              <w:rPr>
                <w:rFonts w:hint="eastAsia"/>
              </w:rPr>
              <w:t>1.</w:t>
            </w:r>
            <w:r>
              <w:t>坚持不懈抓好新时代党的创新理论武装，通过理论中心组学习等多种形式学习贯彻党的二十大精神，深化对“两个确立”决定性意义的领悟，把思想和行动统一到党中央的决策部署上来</w:t>
            </w:r>
            <w:r>
              <w:rPr>
                <w:kern w:val="0"/>
              </w:rPr>
              <w:t>。</w:t>
            </w:r>
          </w:p>
          <w:p>
            <w:pPr>
              <w:adjustRightInd w:val="0"/>
              <w:snapToGrid w:val="0"/>
              <w:spacing w:line="300" w:lineRule="exact"/>
              <w:rPr>
                <w:rFonts w:cs="Arial"/>
              </w:rPr>
            </w:pPr>
            <w:r>
              <w:rPr>
                <w:rFonts w:hint="eastAsia" w:cs="Arial"/>
              </w:rPr>
              <w:t>2.深入开展学习贯彻习近平新时代中国特色社会主义思想主题教育，推动基层党组织和广大党员坚定拥护“两个确立”、坚决做到“两个维护”。</w:t>
            </w:r>
          </w:p>
          <w:p>
            <w:pPr>
              <w:adjustRightInd w:val="0"/>
              <w:snapToGrid w:val="0"/>
              <w:spacing w:line="300" w:lineRule="exact"/>
            </w:pPr>
            <w:r>
              <w:rPr>
                <w:rFonts w:hint="eastAsia"/>
              </w:rPr>
              <w:t>3.</w:t>
            </w:r>
            <w:r>
              <w:t>加强领导班子建设，提升整体功能，提高议事决策水平，</w:t>
            </w:r>
            <w:r>
              <w:rPr>
                <w:kern w:val="0"/>
              </w:rPr>
              <w:t>贯彻落实好学校党政各项决策部署。坚持民主集中制，贯彻落实《常州工学院二级学院党组织委员会会议议事规则》《常州工学院二级学院党政联席会议议事规则》和</w:t>
            </w:r>
            <w:r>
              <w:t>“三重一大”集体决策实施细则，</w:t>
            </w:r>
            <w:r>
              <w:rPr>
                <w:kern w:val="0"/>
              </w:rPr>
              <w:t>制定和健全相关制度、规范</w:t>
            </w:r>
            <w:r>
              <w:t>。</w:t>
            </w:r>
          </w:p>
          <w:p>
            <w:pPr>
              <w:adjustRightInd w:val="0"/>
              <w:snapToGrid w:val="0"/>
              <w:spacing w:line="300" w:lineRule="exact"/>
            </w:pPr>
            <w:r>
              <w:rPr>
                <w:rFonts w:hint="eastAsia"/>
                <w:kern w:val="0"/>
              </w:rPr>
              <w:t>4.</w:t>
            </w:r>
            <w:r>
              <w:rPr>
                <w:kern w:val="0"/>
              </w:rPr>
              <w:t>认真落实全面从严治党和加强政治建设的各项职责任务。</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spacing w:line="240" w:lineRule="atLeast"/>
              <w:jc w:val="center"/>
            </w:pPr>
            <w:r>
              <w:t>2.基层党组织建设</w:t>
            </w:r>
          </w:p>
        </w:tc>
        <w:tc>
          <w:tcPr>
            <w:tcW w:w="4961" w:type="dxa"/>
            <w:noWrap w:val="0"/>
            <w:tcMar>
              <w:left w:w="20" w:type="dxa"/>
              <w:right w:w="20" w:type="dxa"/>
            </w:tcMar>
            <w:vAlign w:val="top"/>
          </w:tcPr>
          <w:p>
            <w:pPr>
              <w:adjustRightInd w:val="0"/>
              <w:snapToGrid w:val="0"/>
              <w:spacing w:line="300" w:lineRule="exact"/>
            </w:pPr>
            <w:r>
              <w:rPr>
                <w:rFonts w:hint="eastAsia"/>
              </w:rPr>
              <w:t>1.</w:t>
            </w:r>
            <w:r>
              <w:t>全面加强基层党组织建设，深入贯彻《中国共产党普通高等学校基层组织工作条例》《江苏省普通高等学校院（系）党组织工作标准》《常州工学院二级学院党组织标准化建设实施意见》要求，开展对标找差，整改提高工作。根据校党委统一部署，做好基层党组织换届选举工作，优化基层党支部设置</w:t>
            </w:r>
            <w:r>
              <w:rPr>
                <w:rFonts w:hint="eastAsia" w:cs="Arial"/>
                <w:color w:val="000000"/>
              </w:rPr>
              <w:t>，增强基层党组织政治功能和组织功能。</w:t>
            </w:r>
          </w:p>
          <w:p>
            <w:pPr>
              <w:adjustRightInd w:val="0"/>
              <w:snapToGrid w:val="0"/>
              <w:spacing w:line="300" w:lineRule="atLeast"/>
              <w:ind w:firstLine="2" w:firstLineChars="1"/>
              <w:rPr>
                <w:rFonts w:hint="eastAsia"/>
                <w:color w:val="000000"/>
              </w:rPr>
            </w:pPr>
            <w:r>
              <w:rPr>
                <w:rFonts w:hint="eastAsia"/>
              </w:rPr>
              <w:t>2.</w:t>
            </w:r>
            <w:r>
              <w:t>认真执行《关于认真开展202</w:t>
            </w:r>
            <w:r>
              <w:rPr>
                <w:rFonts w:hint="eastAsia"/>
              </w:rPr>
              <w:t>4</w:t>
            </w:r>
            <w:r>
              <w:t>年基层党组织生活的实施方案》，严格党内政治生活和基本制度，落细落实“三会一课”、组织生活会、民</w:t>
            </w:r>
            <w:r>
              <w:rPr>
                <w:color w:val="000000"/>
              </w:rPr>
              <w:t>主评议党员等制度；规范主题党日，党员活动日等制度。严格党员教育管理，加强对党费收缴使用的规范化管理。</w:t>
            </w:r>
          </w:p>
          <w:p>
            <w:pPr>
              <w:adjustRightInd w:val="0"/>
              <w:snapToGrid w:val="0"/>
              <w:spacing w:line="300" w:lineRule="atLeast"/>
              <w:ind w:firstLine="2" w:firstLineChars="1"/>
              <w:rPr>
                <w:rFonts w:hint="eastAsia"/>
                <w:color w:val="000000"/>
              </w:rPr>
            </w:pPr>
            <w:r>
              <w:rPr>
                <w:rFonts w:hint="eastAsia" w:cs="Arial"/>
                <w:color w:val="000000"/>
              </w:rPr>
              <w:t>3.贯彻执行《常州工学院党员发展实施细则》，加强对高层次人才、优秀青年教师人才的政治引领和政治吸纳。扎实做好学生党员发展工作，</w:t>
            </w:r>
            <w:r>
              <w:rPr>
                <w:color w:val="000000"/>
              </w:rPr>
              <w:t>壮大积极分子队伍，</w:t>
            </w:r>
            <w:r>
              <w:rPr>
                <w:rFonts w:hint="eastAsia" w:cs="Arial"/>
                <w:color w:val="000000"/>
              </w:rPr>
              <w:t>加强日常考察和政治审查，</w:t>
            </w:r>
            <w:r>
              <w:rPr>
                <w:color w:val="000000"/>
              </w:rPr>
              <w:t>发展党员全程纪实工作规范、到位。完成年度党员发展计划并保证发展党员质量。开展常态化党员发展工作自查工作，针对发现问题及时整改。</w:t>
            </w:r>
          </w:p>
          <w:p>
            <w:pPr>
              <w:adjustRightInd w:val="0"/>
              <w:snapToGrid w:val="0"/>
              <w:spacing w:line="300" w:lineRule="atLeast"/>
              <w:ind w:firstLine="2" w:firstLineChars="1"/>
              <w:rPr>
                <w:rFonts w:hint="eastAsia"/>
                <w:color w:val="000000"/>
              </w:rPr>
            </w:pPr>
            <w:r>
              <w:rPr>
                <w:rFonts w:hint="eastAsia"/>
                <w:color w:val="000000"/>
              </w:rPr>
              <w:t>4.</w:t>
            </w:r>
            <w:r>
              <w:rPr>
                <w:color w:val="000000"/>
              </w:rPr>
              <w:t>充分利用二级党校加强对入党积极分子、发展对象和预备党员的教育培训。</w:t>
            </w:r>
          </w:p>
          <w:p>
            <w:pPr>
              <w:adjustRightInd w:val="0"/>
              <w:snapToGrid w:val="0"/>
              <w:spacing w:line="300" w:lineRule="atLeast"/>
              <w:ind w:firstLine="2" w:firstLineChars="1"/>
              <w:rPr>
                <w:rFonts w:hint="eastAsia"/>
              </w:rPr>
            </w:pPr>
            <w:r>
              <w:rPr>
                <w:rFonts w:hint="eastAsia"/>
              </w:rPr>
              <w:t>5.开展基层党建工作品牌创建，实施“一基层一特色、一支部一品牌”活动。</w:t>
            </w:r>
          </w:p>
          <w:p>
            <w:pPr>
              <w:widowControl/>
              <w:adjustRightInd w:val="0"/>
              <w:snapToGrid w:val="0"/>
              <w:spacing w:line="300" w:lineRule="atLeast"/>
              <w:jc w:val="left"/>
              <w:rPr>
                <w:rFonts w:hint="eastAsia" w:cs="Arial"/>
                <w:color w:val="000000"/>
              </w:rPr>
            </w:pPr>
            <w:r>
              <w:rPr>
                <w:rFonts w:hint="eastAsia" w:cs="Arial"/>
                <w:color w:val="000000"/>
              </w:rPr>
              <w:t>6.推进“一站式”学生社区建设。</w:t>
            </w:r>
          </w:p>
          <w:p>
            <w:pPr>
              <w:adjustRightInd w:val="0"/>
              <w:snapToGrid w:val="0"/>
              <w:spacing w:line="300" w:lineRule="exact"/>
              <w:rPr>
                <w:kern w:val="0"/>
              </w:rPr>
            </w:pPr>
            <w:r>
              <w:rPr>
                <w:rFonts w:hint="eastAsia"/>
              </w:rPr>
              <w:t>7.</w:t>
            </w:r>
            <w:r>
              <w:t>落实党员领导班子成员联系师生党支部制度。</w:t>
            </w:r>
            <w:r>
              <w:rPr>
                <w:kern w:val="0"/>
              </w:rPr>
              <w:t>扎实开展基层党支部书记履行党建工作责任述职评议工作。</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spacing w:line="240" w:lineRule="atLeast"/>
              <w:jc w:val="center"/>
            </w:pPr>
            <w:r>
              <w:t>3.党建创新创优</w:t>
            </w:r>
          </w:p>
        </w:tc>
        <w:tc>
          <w:tcPr>
            <w:tcW w:w="4961" w:type="dxa"/>
            <w:noWrap w:val="0"/>
            <w:tcMar>
              <w:left w:w="20" w:type="dxa"/>
              <w:right w:w="20" w:type="dxa"/>
            </w:tcMar>
            <w:vAlign w:val="top"/>
          </w:tcPr>
          <w:p>
            <w:pPr>
              <w:adjustRightInd w:val="0"/>
              <w:snapToGrid w:val="0"/>
              <w:spacing w:line="300" w:lineRule="atLeast"/>
              <w:ind w:hanging="2"/>
            </w:pPr>
            <w:r>
              <w:rPr>
                <w:rFonts w:hint="eastAsia"/>
              </w:rPr>
              <w:t>1.</w:t>
            </w:r>
            <w:r>
              <w:t>按照“强基创优”五年建设计划要求，积极开展标杆院系、样板党支部培育创建工作，对标自查，加强建设，争创特色品牌。</w:t>
            </w:r>
          </w:p>
          <w:p>
            <w:pPr>
              <w:widowControl/>
              <w:adjustRightInd w:val="0"/>
              <w:snapToGrid w:val="0"/>
              <w:spacing w:line="300" w:lineRule="atLeast"/>
              <w:ind w:hanging="2"/>
              <w:jc w:val="left"/>
            </w:pPr>
            <w:r>
              <w:rPr>
                <w:rFonts w:hint="eastAsia"/>
              </w:rPr>
              <w:t>2.</w:t>
            </w:r>
            <w:r>
              <w:t>推动党建与事业发展深度融合，围绕实现学校“十四五”发展规划和202</w:t>
            </w:r>
            <w:r>
              <w:rPr>
                <w:rFonts w:hint="eastAsia"/>
              </w:rPr>
              <w:t>4</w:t>
            </w:r>
            <w:r>
              <w:t>年学校“</w:t>
            </w:r>
            <w:r>
              <w:rPr>
                <w:rFonts w:hint="eastAsia"/>
              </w:rPr>
              <w:t>关爱师生提级</w:t>
            </w:r>
            <w:r>
              <w:t>年”重点工作任务，开展好主题党日活动等，深入开展“最佳党日活动”和党建创新工作，在推动学校重大决策、重大改革、重大部署和一流应用技术大学建设中加大党建融入力度，克服“两张皮”现象，有效发挥党组织的政治功能和组织力，充分调动党员的积极性和创造性，立足岗位建新功。</w:t>
            </w:r>
          </w:p>
          <w:p>
            <w:pPr>
              <w:widowControl/>
              <w:adjustRightInd w:val="0"/>
              <w:snapToGrid w:val="0"/>
              <w:spacing w:line="300" w:lineRule="atLeast"/>
              <w:ind w:hanging="2"/>
            </w:pPr>
            <w:r>
              <w:rPr>
                <w:rFonts w:hint="eastAsia"/>
              </w:rPr>
              <w:t>3.</w:t>
            </w:r>
            <w:r>
              <w:t>紧密结合工作实际，突出问题导向，立项并</w:t>
            </w:r>
            <w:r>
              <w:rPr>
                <w:kern w:val="0"/>
              </w:rPr>
              <w:t>做好基层党组织“书记项目”管理工作</w:t>
            </w:r>
            <w:r>
              <w:t>。</w:t>
            </w:r>
          </w:p>
          <w:p>
            <w:pPr>
              <w:adjustRightInd w:val="0"/>
              <w:snapToGrid w:val="0"/>
              <w:spacing w:line="300" w:lineRule="atLeast"/>
              <w:ind w:hanging="2"/>
            </w:pPr>
            <w:r>
              <w:rPr>
                <w:rFonts w:hint="eastAsia"/>
              </w:rPr>
              <w:t>4.</w:t>
            </w:r>
            <w:r>
              <w:t>积极开展党建研究，完成1-2项党建研究课题或论文，以党建研究成果促进党建创新实践，取得实际成效。</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spacing w:line="240" w:lineRule="atLeast"/>
              <w:jc w:val="center"/>
            </w:pPr>
            <w:r>
              <w:t>4.党管人才工作</w:t>
            </w:r>
          </w:p>
        </w:tc>
        <w:tc>
          <w:tcPr>
            <w:tcW w:w="4961" w:type="dxa"/>
            <w:noWrap w:val="0"/>
            <w:tcMar>
              <w:left w:w="20" w:type="dxa"/>
              <w:right w:w="20" w:type="dxa"/>
            </w:tcMar>
            <w:vAlign w:val="top"/>
          </w:tcPr>
          <w:p>
            <w:pPr>
              <w:adjustRightInd w:val="0"/>
              <w:snapToGrid w:val="0"/>
              <w:spacing w:line="300" w:lineRule="atLeast"/>
              <w:ind w:firstLine="2" w:firstLineChars="1"/>
              <w:rPr>
                <w:color w:val="000000"/>
              </w:rPr>
            </w:pPr>
            <w:r>
              <w:rPr>
                <w:rFonts w:hint="eastAsia"/>
                <w:color w:val="000000"/>
              </w:rPr>
              <w:t>1.</w:t>
            </w:r>
            <w:r>
              <w:rPr>
                <w:color w:val="000000"/>
              </w:rPr>
              <w:t>落实一把手抓第一资源责任，有效推进高层次人才引培计划。</w:t>
            </w:r>
          </w:p>
          <w:p>
            <w:pPr>
              <w:adjustRightInd w:val="0"/>
              <w:snapToGrid w:val="0"/>
              <w:spacing w:line="300" w:lineRule="atLeast"/>
              <w:ind w:firstLine="2" w:firstLineChars="1"/>
              <w:rPr>
                <w:color w:val="000000"/>
              </w:rPr>
            </w:pPr>
            <w:r>
              <w:rPr>
                <w:rFonts w:hint="eastAsia"/>
                <w:color w:val="000000"/>
              </w:rPr>
              <w:t>2.</w:t>
            </w:r>
            <w:r>
              <w:rPr>
                <w:color w:val="000000"/>
              </w:rPr>
              <w:t>积极为各类高层次人才成长成才创造优良环境和条件，落实二级学院领导联系高层次人才工作制度。</w:t>
            </w:r>
          </w:p>
          <w:p>
            <w:pPr>
              <w:adjustRightInd w:val="0"/>
              <w:snapToGrid w:val="0"/>
              <w:spacing w:line="300" w:lineRule="atLeast"/>
              <w:ind w:firstLine="2" w:firstLineChars="1"/>
              <w:rPr>
                <w:color w:val="000000"/>
              </w:rPr>
            </w:pPr>
            <w:r>
              <w:rPr>
                <w:rFonts w:hint="eastAsia"/>
                <w:color w:val="000000"/>
              </w:rPr>
              <w:t>3.</w:t>
            </w:r>
            <w:r>
              <w:rPr>
                <w:color w:val="000000"/>
              </w:rPr>
              <w:t>做好“跟班锻炼”人员的帮带培养工作，着力提高其思想政治素质和工作能力。</w:t>
            </w:r>
          </w:p>
          <w:p>
            <w:pPr>
              <w:adjustRightInd w:val="0"/>
              <w:snapToGrid w:val="0"/>
              <w:spacing w:line="300" w:lineRule="atLeast"/>
              <w:ind w:firstLine="2" w:firstLineChars="1"/>
            </w:pPr>
            <w:r>
              <w:rPr>
                <w:rFonts w:hint="eastAsia"/>
                <w:color w:val="000000"/>
              </w:rPr>
              <w:t>4.</w:t>
            </w:r>
            <w:r>
              <w:rPr>
                <w:color w:val="000000"/>
              </w:rPr>
              <w:t>积极推荐和选派青年博士外出挂职锻炼不少于1名，助力产教融合、服务地方经济社会发展。</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spacing w:line="240" w:lineRule="atLeast"/>
              <w:jc w:val="center"/>
            </w:pPr>
            <w:r>
              <w:t>5.统一战线工作</w:t>
            </w:r>
          </w:p>
        </w:tc>
        <w:tc>
          <w:tcPr>
            <w:tcW w:w="4961" w:type="dxa"/>
            <w:noWrap w:val="0"/>
            <w:tcMar>
              <w:left w:w="20" w:type="dxa"/>
              <w:right w:w="20" w:type="dxa"/>
            </w:tcMar>
            <w:vAlign w:val="top"/>
          </w:tcPr>
          <w:p>
            <w:pPr>
              <w:adjustRightInd w:val="0"/>
              <w:snapToGrid w:val="0"/>
              <w:spacing w:line="300" w:lineRule="atLeast"/>
              <w:ind w:firstLine="2" w:firstLineChars="1"/>
            </w:pPr>
            <w:r>
              <w:rPr>
                <w:rFonts w:hint="eastAsia"/>
              </w:rPr>
              <w:t>1.</w:t>
            </w:r>
            <w:r>
              <w:t>学习贯彻《中国共产党统一战线工作条例》，落实校党委关于统战工作的各项部署和要求，履行二级基层党组织统战工作主体责任。</w:t>
            </w:r>
          </w:p>
          <w:p>
            <w:pPr>
              <w:adjustRightInd w:val="0"/>
              <w:snapToGrid w:val="0"/>
              <w:spacing w:line="300" w:lineRule="atLeast"/>
              <w:ind w:firstLine="2" w:firstLineChars="1"/>
            </w:pPr>
            <w:r>
              <w:rPr>
                <w:rFonts w:hint="eastAsia"/>
              </w:rPr>
              <w:t>2.</w:t>
            </w:r>
            <w:r>
              <w:t>执行二级学院党员领导干部联系党外人士制度。</w:t>
            </w:r>
          </w:p>
          <w:p>
            <w:pPr>
              <w:adjustRightInd w:val="0"/>
              <w:snapToGrid w:val="0"/>
              <w:spacing w:line="300" w:lineRule="atLeast"/>
              <w:ind w:firstLine="2" w:firstLineChars="1"/>
            </w:pPr>
            <w:r>
              <w:rPr>
                <w:rFonts w:hint="eastAsia"/>
              </w:rPr>
              <w:t>3.</w:t>
            </w:r>
            <w:r>
              <w:t>加强对党外人士思想政治引领，积极开展同心教育实践基地建设。支持党外人士作用发挥。</w:t>
            </w:r>
          </w:p>
          <w:p>
            <w:pPr>
              <w:adjustRightInd w:val="0"/>
              <w:snapToGrid w:val="0"/>
              <w:spacing w:line="300" w:lineRule="atLeast"/>
              <w:ind w:firstLine="2" w:firstLineChars="1"/>
            </w:pPr>
            <w:r>
              <w:rPr>
                <w:rFonts w:hint="eastAsia"/>
              </w:rPr>
              <w:t>4.</w:t>
            </w:r>
            <w:r>
              <w:t>开展民族团结进步宣传教育，持续做好防范和抵御宗教对校园的渗透工作。</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tcBorders>
              <w:top w:val="single" w:color="auto" w:sz="4" w:space="0"/>
            </w:tcBorders>
            <w:noWrap w:val="0"/>
            <w:vAlign w:val="center"/>
          </w:tcPr>
          <w:p>
            <w:pPr>
              <w:spacing w:line="240" w:lineRule="atLeast"/>
              <w:jc w:val="center"/>
              <w:rPr>
                <w:rFonts w:hint="eastAsia"/>
                <w:b/>
              </w:rPr>
            </w:pPr>
            <w:r>
              <w:rPr>
                <w:rFonts w:hint="eastAsia"/>
                <w:b/>
              </w:rPr>
              <w:t>八、宣传</w:t>
            </w:r>
          </w:p>
          <w:p>
            <w:pPr>
              <w:spacing w:line="240" w:lineRule="atLeast"/>
              <w:jc w:val="center"/>
              <w:rPr>
                <w:rFonts w:hint="eastAsia"/>
                <w:b/>
              </w:rPr>
            </w:pPr>
            <w:r>
              <w:rPr>
                <w:rFonts w:hint="eastAsia"/>
                <w:b/>
              </w:rPr>
              <w:t>思想工作</w:t>
            </w:r>
          </w:p>
        </w:tc>
        <w:tc>
          <w:tcPr>
            <w:tcW w:w="3120" w:type="dxa"/>
            <w:tcBorders>
              <w:top w:val="single" w:color="auto" w:sz="4" w:space="0"/>
            </w:tcBorders>
            <w:noWrap w:val="0"/>
            <w:tcMar>
              <w:left w:w="20" w:type="dxa"/>
              <w:right w:w="20" w:type="dxa"/>
            </w:tcMar>
            <w:vAlign w:val="center"/>
          </w:tcPr>
          <w:p>
            <w:pPr>
              <w:widowControl/>
              <w:spacing w:line="320" w:lineRule="exact"/>
              <w:jc w:val="center"/>
            </w:pPr>
            <w:r>
              <w:rPr>
                <w:rFonts w:hint="eastAsia"/>
              </w:rPr>
              <w:t>落实大学文化建设专项工作</w:t>
            </w:r>
          </w:p>
        </w:tc>
        <w:tc>
          <w:tcPr>
            <w:tcW w:w="4961" w:type="dxa"/>
            <w:noWrap w:val="0"/>
            <w:vAlign w:val="center"/>
          </w:tcPr>
          <w:p>
            <w:pPr>
              <w:widowControl/>
              <w:spacing w:line="320" w:lineRule="exact"/>
              <w:jc w:val="left"/>
            </w:pPr>
            <w:r>
              <w:rPr>
                <w:rFonts w:hint="eastAsia"/>
                <w:kern w:val="0"/>
              </w:rPr>
              <w:t>对照学校2024年度工作要点第五项重点工作</w:t>
            </w:r>
            <w:r>
              <w:rPr>
                <w:rFonts w:hint="eastAsia"/>
              </w:rPr>
              <w:t>“聚焦常工精神特质塑造，推动文化建设上台阶”</w:t>
            </w:r>
            <w:r>
              <w:rPr>
                <w:rFonts w:hint="eastAsia"/>
                <w:kern w:val="0"/>
              </w:rPr>
              <w:t>，根据落实方案任务分解和党委宣传部相关工作通知，积极参与、</w:t>
            </w:r>
            <w:r>
              <w:rPr>
                <w:rFonts w:hint="eastAsia" w:cs="宋体"/>
                <w:kern w:val="0"/>
              </w:rPr>
              <w:t>落实好大学文化建设专项各项工作。</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22" w:type="dxa"/>
            <w:vMerge w:val="continue"/>
            <w:noWrap w:val="0"/>
            <w:vAlign w:val="center"/>
          </w:tcPr>
          <w:p>
            <w:pPr>
              <w:spacing w:line="240" w:lineRule="atLeast"/>
              <w:jc w:val="center"/>
              <w:rPr>
                <w:rFonts w:hint="eastAsia"/>
                <w:b/>
              </w:rPr>
            </w:pPr>
          </w:p>
        </w:tc>
        <w:tc>
          <w:tcPr>
            <w:tcW w:w="3120" w:type="dxa"/>
            <w:tcBorders>
              <w:bottom w:val="single" w:color="auto" w:sz="4" w:space="0"/>
            </w:tcBorders>
            <w:noWrap w:val="0"/>
            <w:tcMar>
              <w:left w:w="20" w:type="dxa"/>
              <w:right w:w="20" w:type="dxa"/>
            </w:tcMar>
            <w:vAlign w:val="center"/>
          </w:tcPr>
          <w:p>
            <w:pPr>
              <w:spacing w:line="240" w:lineRule="atLeast"/>
              <w:jc w:val="center"/>
            </w:pPr>
            <w:r>
              <w:rPr>
                <w:rFonts w:hint="eastAsia"/>
              </w:rPr>
              <w:t>落实意识形态工作责任制</w:t>
            </w:r>
          </w:p>
        </w:tc>
        <w:tc>
          <w:tcPr>
            <w:tcW w:w="4961" w:type="dxa"/>
            <w:noWrap w:val="0"/>
            <w:vAlign w:val="center"/>
          </w:tcPr>
          <w:p>
            <w:pPr>
              <w:spacing w:line="240" w:lineRule="atLeast"/>
              <w:ind w:right="141" w:rightChars="67"/>
              <w:jc w:val="left"/>
              <w:rPr>
                <w:kern w:val="0"/>
              </w:rPr>
            </w:pPr>
            <w:r>
              <w:rPr>
                <w:rFonts w:hint="eastAsia"/>
                <w:kern w:val="0"/>
              </w:rPr>
              <w:t>1.落实意识形态工作责任相关制度；2.建立和完善二级学院党委（党总支）意识形态工作领导小组，责任分解落实到位；定期开展专题研究、情况通报、分析研判；3.形势政策报告会和哲学社会科学讲座、论坛等无迟报、漏报情况；加强各类宣传制品、文化墙、标语等的审核与把关；各类意识形态阵地管理规范、有序；4.做好网络意识形态安全工作。</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2" w:type="dxa"/>
            <w:vMerge w:val="continue"/>
            <w:noWrap w:val="0"/>
            <w:vAlign w:val="center"/>
          </w:tcPr>
          <w:p>
            <w:pPr>
              <w:spacing w:line="240" w:lineRule="atLeast"/>
              <w:jc w:val="center"/>
              <w:rPr>
                <w:rFonts w:hint="eastAsia"/>
                <w:b/>
              </w:rPr>
            </w:pPr>
          </w:p>
        </w:tc>
        <w:tc>
          <w:tcPr>
            <w:tcW w:w="3120" w:type="dxa"/>
            <w:tcBorders>
              <w:top w:val="single" w:color="auto" w:sz="4" w:space="0"/>
            </w:tcBorders>
            <w:noWrap w:val="0"/>
            <w:tcMar>
              <w:left w:w="20" w:type="dxa"/>
              <w:right w:w="20" w:type="dxa"/>
            </w:tcMar>
            <w:vAlign w:val="center"/>
          </w:tcPr>
          <w:p>
            <w:pPr>
              <w:spacing w:line="240" w:lineRule="atLeast"/>
              <w:jc w:val="center"/>
              <w:rPr>
                <w:rFonts w:hint="eastAsia"/>
              </w:rPr>
            </w:pPr>
            <w:r>
              <w:rPr>
                <w:rFonts w:hint="eastAsia"/>
              </w:rPr>
              <w:t>加强理论武装与思想政治工作</w:t>
            </w:r>
          </w:p>
        </w:tc>
        <w:tc>
          <w:tcPr>
            <w:tcW w:w="4961" w:type="dxa"/>
            <w:noWrap w:val="0"/>
            <w:vAlign w:val="center"/>
          </w:tcPr>
          <w:p>
            <w:pPr>
              <w:widowControl/>
              <w:spacing w:line="240" w:lineRule="atLeast"/>
              <w:ind w:right="141" w:rightChars="67"/>
              <w:jc w:val="left"/>
              <w:rPr>
                <w:rFonts w:hint="eastAsia"/>
                <w:kern w:val="0"/>
              </w:rPr>
            </w:pPr>
            <w:r>
              <w:rPr>
                <w:rFonts w:hint="eastAsia"/>
                <w:kern w:val="0"/>
              </w:rPr>
              <w:t>1.落实党委理论学习中心组学习制度和巡学旁听制度；2.落实教职工政治理论学习制度；3.坚持立德树人，积极推进课程思政工作，构建“三全育人”工作机制；4.抓好“学习强国”平台使用，提升资源录用率。</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2" w:type="dxa"/>
            <w:vMerge w:val="continue"/>
            <w:noWrap w:val="0"/>
            <w:vAlign w:val="center"/>
          </w:tcPr>
          <w:p>
            <w:pPr>
              <w:spacing w:line="240" w:lineRule="atLeast"/>
              <w:jc w:val="center"/>
              <w:rPr>
                <w:rFonts w:hint="eastAsia"/>
                <w:b/>
              </w:rPr>
            </w:pPr>
          </w:p>
        </w:tc>
        <w:tc>
          <w:tcPr>
            <w:tcW w:w="3120" w:type="dxa"/>
            <w:tcBorders>
              <w:top w:val="single" w:color="auto" w:sz="4" w:space="0"/>
            </w:tcBorders>
            <w:noWrap w:val="0"/>
            <w:tcMar>
              <w:left w:w="20" w:type="dxa"/>
              <w:right w:w="20" w:type="dxa"/>
            </w:tcMar>
            <w:vAlign w:val="center"/>
          </w:tcPr>
          <w:p>
            <w:pPr>
              <w:spacing w:line="240" w:lineRule="atLeast"/>
              <w:jc w:val="center"/>
              <w:rPr>
                <w:rFonts w:hint="eastAsia"/>
              </w:rPr>
            </w:pPr>
            <w:r>
              <w:rPr>
                <w:rFonts w:hint="eastAsia"/>
              </w:rPr>
              <w:t>推进宣传舆论引导与精神文明建设</w:t>
            </w:r>
          </w:p>
        </w:tc>
        <w:tc>
          <w:tcPr>
            <w:tcW w:w="4961" w:type="dxa"/>
            <w:noWrap w:val="0"/>
            <w:vAlign w:val="center"/>
          </w:tcPr>
          <w:p>
            <w:pPr>
              <w:widowControl/>
              <w:spacing w:line="240" w:lineRule="atLeast"/>
              <w:ind w:right="141" w:rightChars="67"/>
              <w:jc w:val="left"/>
              <w:rPr>
                <w:rFonts w:hint="eastAsia"/>
                <w:kern w:val="0"/>
              </w:rPr>
            </w:pPr>
            <w:r>
              <w:rPr>
                <w:rFonts w:hint="eastAsia"/>
                <w:kern w:val="0"/>
              </w:rPr>
              <w:t>1.抓好正面舆论引导</w:t>
            </w:r>
            <w:r>
              <w:rPr>
                <w:rFonts w:hint="eastAsia"/>
                <w:spacing w:val="-4"/>
                <w:kern w:val="0"/>
              </w:rPr>
              <w:t>工作，内宣工作规范有效，外宣工作彰显特色；2.建好、管好本单位二级网站、官方微信公众号等新媒体平台；3.做好涉校涉院网络舆论引导、处置工作；4.开展</w:t>
            </w:r>
            <w:r>
              <w:rPr>
                <w:rFonts w:hint="eastAsia"/>
                <w:kern w:val="0"/>
              </w:rPr>
              <w:t>“一院一品”大学文化与文明校园建设，师生法治教育，师德师风建设。</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tcBorders>
              <w:top w:val="single" w:color="auto" w:sz="4" w:space="0"/>
            </w:tcBorders>
            <w:noWrap w:val="0"/>
            <w:vAlign w:val="center"/>
          </w:tcPr>
          <w:p>
            <w:pPr>
              <w:spacing w:line="240" w:lineRule="atLeast"/>
              <w:jc w:val="center"/>
              <w:rPr>
                <w:rFonts w:hint="eastAsia"/>
                <w:b/>
              </w:rPr>
            </w:pPr>
            <w:r>
              <w:rPr>
                <w:rFonts w:hint="eastAsia"/>
                <w:b/>
              </w:rPr>
              <w:t>九、廉政</w:t>
            </w:r>
          </w:p>
          <w:p>
            <w:pPr>
              <w:spacing w:line="240" w:lineRule="atLeast"/>
              <w:jc w:val="center"/>
              <w:rPr>
                <w:b/>
              </w:rPr>
            </w:pPr>
            <w:r>
              <w:rPr>
                <w:rFonts w:hint="eastAsia"/>
                <w:b/>
              </w:rPr>
              <w:t>建设</w:t>
            </w:r>
          </w:p>
        </w:tc>
        <w:tc>
          <w:tcPr>
            <w:tcW w:w="3120" w:type="dxa"/>
            <w:vMerge w:val="restart"/>
            <w:tcBorders>
              <w:top w:val="single" w:color="auto" w:sz="4" w:space="0"/>
            </w:tcBorders>
            <w:noWrap w:val="0"/>
            <w:tcMar>
              <w:left w:w="20" w:type="dxa"/>
              <w:right w:w="20" w:type="dxa"/>
            </w:tcMar>
            <w:vAlign w:val="center"/>
          </w:tcPr>
          <w:p>
            <w:pPr>
              <w:spacing w:line="240" w:lineRule="atLeast"/>
              <w:jc w:val="center"/>
            </w:pPr>
            <w:r>
              <w:rPr>
                <w:rFonts w:hint="eastAsia"/>
              </w:rPr>
              <w:t>加强组织领导</w:t>
            </w:r>
          </w:p>
        </w:tc>
        <w:tc>
          <w:tcPr>
            <w:tcW w:w="4961" w:type="dxa"/>
            <w:noWrap w:val="0"/>
            <w:vAlign w:val="center"/>
          </w:tcPr>
          <w:p>
            <w:pPr>
              <w:spacing w:line="240" w:lineRule="atLeast"/>
              <w:jc w:val="left"/>
            </w:pPr>
            <w:r>
              <w:rPr>
                <w:rFonts w:hint="eastAsia"/>
              </w:rPr>
              <w:t>根据学校全面从严治党工作部署，制订基层党委（党总支）的工作目标和计划。专题研究本单位党风廉政建设情况，推动全面从严治党与业务工作同谋划、同部署、同推进、同落实。</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b/>
              </w:rPr>
            </w:pPr>
          </w:p>
        </w:tc>
        <w:tc>
          <w:tcPr>
            <w:tcW w:w="3120" w:type="dxa"/>
            <w:vMerge w:val="continue"/>
            <w:noWrap w:val="0"/>
            <w:tcMar>
              <w:left w:w="20" w:type="dxa"/>
              <w:right w:w="20" w:type="dxa"/>
            </w:tcMar>
            <w:vAlign w:val="center"/>
          </w:tcPr>
          <w:p>
            <w:pPr>
              <w:spacing w:line="240" w:lineRule="atLeast"/>
              <w:jc w:val="center"/>
            </w:pPr>
          </w:p>
        </w:tc>
        <w:tc>
          <w:tcPr>
            <w:tcW w:w="4961" w:type="dxa"/>
            <w:tcBorders>
              <w:bottom w:val="single" w:color="auto" w:sz="4" w:space="0"/>
            </w:tcBorders>
            <w:noWrap w:val="0"/>
            <w:vAlign w:val="center"/>
          </w:tcPr>
          <w:p>
            <w:pPr>
              <w:spacing w:line="240" w:lineRule="atLeast"/>
              <w:jc w:val="left"/>
            </w:pPr>
            <w:r>
              <w:rPr>
                <w:rFonts w:hint="eastAsia"/>
              </w:rPr>
              <w:t>根据学校部署要求，制订年度</w:t>
            </w:r>
            <w:r>
              <w:t>书记“第一责任人”、班子成员“一岗双责”责任</w:t>
            </w:r>
            <w:r>
              <w:rPr>
                <w:rFonts w:hint="eastAsia"/>
              </w:rPr>
              <w:t>清单，发挥纪检委员作用，监督班子主体责任落实。</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22" w:type="dxa"/>
            <w:vMerge w:val="continue"/>
            <w:noWrap w:val="0"/>
            <w:vAlign w:val="center"/>
          </w:tcPr>
          <w:p>
            <w:pPr>
              <w:spacing w:line="240" w:lineRule="atLeast"/>
              <w:jc w:val="center"/>
              <w:rPr>
                <w:b/>
              </w:rPr>
            </w:pPr>
          </w:p>
        </w:tc>
        <w:tc>
          <w:tcPr>
            <w:tcW w:w="3120" w:type="dxa"/>
            <w:vMerge w:val="continue"/>
            <w:noWrap w:val="0"/>
            <w:tcMar>
              <w:left w:w="20" w:type="dxa"/>
              <w:right w:w="20" w:type="dxa"/>
            </w:tcMar>
            <w:vAlign w:val="center"/>
          </w:tcPr>
          <w:p>
            <w:pPr>
              <w:spacing w:line="240" w:lineRule="atLeast"/>
              <w:jc w:val="center"/>
            </w:pPr>
          </w:p>
        </w:tc>
        <w:tc>
          <w:tcPr>
            <w:tcW w:w="4961" w:type="dxa"/>
            <w:tcBorders>
              <w:top w:val="single" w:color="auto" w:sz="4" w:space="0"/>
              <w:bottom w:val="single" w:color="auto" w:sz="4" w:space="0"/>
            </w:tcBorders>
            <w:noWrap w:val="0"/>
            <w:vAlign w:val="center"/>
          </w:tcPr>
          <w:p>
            <w:pPr>
              <w:spacing w:line="240" w:lineRule="atLeast"/>
            </w:pPr>
            <w:r>
              <w:rPr>
                <w:rFonts w:hint="eastAsia"/>
              </w:rPr>
              <w:t>认真做好廉政教育和廉洁教育，参与校园廉洁文化活动。</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b/>
              </w:rPr>
            </w:pPr>
          </w:p>
        </w:tc>
        <w:tc>
          <w:tcPr>
            <w:tcW w:w="3120" w:type="dxa"/>
            <w:vMerge w:val="restart"/>
            <w:noWrap w:val="0"/>
            <w:tcMar>
              <w:left w:w="20" w:type="dxa"/>
              <w:right w:w="20" w:type="dxa"/>
            </w:tcMar>
            <w:vAlign w:val="center"/>
          </w:tcPr>
          <w:p>
            <w:pPr>
              <w:snapToGrid w:val="0"/>
              <w:spacing w:line="240" w:lineRule="atLeast"/>
              <w:jc w:val="center"/>
            </w:pPr>
            <w:r>
              <w:rPr>
                <w:rFonts w:hint="eastAsia"/>
              </w:rPr>
              <w:t>抓好作风建设</w:t>
            </w:r>
          </w:p>
        </w:tc>
        <w:tc>
          <w:tcPr>
            <w:tcW w:w="4961" w:type="dxa"/>
            <w:tcBorders>
              <w:top w:val="single" w:color="auto" w:sz="4" w:space="0"/>
            </w:tcBorders>
            <w:noWrap w:val="0"/>
            <w:vAlign w:val="center"/>
          </w:tcPr>
          <w:p>
            <w:pPr>
              <w:spacing w:line="240" w:lineRule="atLeast"/>
              <w:jc w:val="left"/>
            </w:pPr>
            <w:r>
              <w:rPr>
                <w:rFonts w:hint="eastAsia"/>
              </w:rPr>
              <w:t>深入贯彻中央八项规定、省委十项规定和市委实施意见精神，持续整治形式主义、官僚主义，做好年度向学校党委、纪委述责述廉工作，认真落实整改主题教育班子检视问题、审计及巡视巡察发现的问题。</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b/>
              </w:rPr>
            </w:pPr>
          </w:p>
        </w:tc>
        <w:tc>
          <w:tcPr>
            <w:tcW w:w="3120" w:type="dxa"/>
            <w:vMerge w:val="continue"/>
            <w:noWrap w:val="0"/>
            <w:tcMar>
              <w:left w:w="20" w:type="dxa"/>
              <w:right w:w="20" w:type="dxa"/>
            </w:tcMar>
            <w:vAlign w:val="center"/>
          </w:tcPr>
          <w:p>
            <w:pPr>
              <w:spacing w:line="240" w:lineRule="atLeast"/>
              <w:jc w:val="center"/>
            </w:pPr>
          </w:p>
        </w:tc>
        <w:tc>
          <w:tcPr>
            <w:tcW w:w="4961" w:type="dxa"/>
            <w:noWrap w:val="0"/>
            <w:vAlign w:val="center"/>
          </w:tcPr>
          <w:p>
            <w:pPr>
              <w:spacing w:line="240" w:lineRule="atLeast"/>
              <w:jc w:val="left"/>
            </w:pPr>
            <w:r>
              <w:rPr>
                <w:rFonts w:hint="eastAsia"/>
              </w:rPr>
              <w:t>支持配合机关作风提升计划实施，改进作风，定期接访、联系师生、调查研究。</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22" w:type="dxa"/>
            <w:vMerge w:val="continue"/>
            <w:noWrap w:val="0"/>
            <w:vAlign w:val="center"/>
          </w:tcPr>
          <w:p>
            <w:pPr>
              <w:spacing w:line="240" w:lineRule="atLeast"/>
              <w:jc w:val="center"/>
              <w:rPr>
                <w:b/>
              </w:rPr>
            </w:pPr>
          </w:p>
        </w:tc>
        <w:tc>
          <w:tcPr>
            <w:tcW w:w="3120" w:type="dxa"/>
            <w:vMerge w:val="continue"/>
            <w:noWrap w:val="0"/>
            <w:tcMar>
              <w:left w:w="20" w:type="dxa"/>
              <w:right w:w="20" w:type="dxa"/>
            </w:tcMar>
            <w:vAlign w:val="center"/>
          </w:tcPr>
          <w:p>
            <w:pPr>
              <w:spacing w:line="240" w:lineRule="atLeast"/>
              <w:jc w:val="center"/>
            </w:pPr>
          </w:p>
        </w:tc>
        <w:tc>
          <w:tcPr>
            <w:tcW w:w="4961" w:type="dxa"/>
            <w:noWrap w:val="0"/>
            <w:vAlign w:val="center"/>
          </w:tcPr>
          <w:p>
            <w:pPr>
              <w:spacing w:line="240" w:lineRule="atLeast"/>
              <w:jc w:val="left"/>
            </w:pPr>
            <w:r>
              <w:rPr>
                <w:rFonts w:hint="eastAsia"/>
              </w:rPr>
              <w:t>解决师生员工普遍关注的突出问题。</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b/>
              </w:rPr>
            </w:pPr>
          </w:p>
        </w:tc>
        <w:tc>
          <w:tcPr>
            <w:tcW w:w="3120" w:type="dxa"/>
            <w:vMerge w:val="restart"/>
            <w:noWrap w:val="0"/>
            <w:tcMar>
              <w:left w:w="20" w:type="dxa"/>
              <w:right w:w="20" w:type="dxa"/>
            </w:tcMar>
            <w:vAlign w:val="center"/>
          </w:tcPr>
          <w:p>
            <w:pPr>
              <w:snapToGrid w:val="0"/>
              <w:spacing w:line="240" w:lineRule="atLeast"/>
              <w:jc w:val="center"/>
            </w:pPr>
            <w:r>
              <w:rPr>
                <w:rFonts w:hint="eastAsia"/>
              </w:rPr>
              <w:t>强化权力制约监督</w:t>
            </w:r>
          </w:p>
        </w:tc>
        <w:tc>
          <w:tcPr>
            <w:tcW w:w="4961" w:type="dxa"/>
            <w:noWrap w:val="0"/>
            <w:vAlign w:val="center"/>
          </w:tcPr>
          <w:p>
            <w:pPr>
              <w:spacing w:line="240" w:lineRule="atLeast"/>
              <w:jc w:val="left"/>
            </w:pPr>
            <w:r>
              <w:rPr>
                <w:rFonts w:hint="eastAsia"/>
              </w:rPr>
              <w:t>严格执行“三重一大”决策制度、二级学院党组织委员会会议议事规则和党政联席会议议事规则，落实学校疫情防控相关规定，做到守土尽责，确保学院平安。</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2" w:type="dxa"/>
            <w:vMerge w:val="continue"/>
            <w:noWrap w:val="0"/>
            <w:vAlign w:val="center"/>
          </w:tcPr>
          <w:p>
            <w:pPr>
              <w:spacing w:line="240" w:lineRule="atLeast"/>
              <w:jc w:val="center"/>
              <w:rPr>
                <w:b/>
              </w:rPr>
            </w:pPr>
          </w:p>
        </w:tc>
        <w:tc>
          <w:tcPr>
            <w:tcW w:w="3120" w:type="dxa"/>
            <w:vMerge w:val="continue"/>
            <w:noWrap w:val="0"/>
            <w:tcMar>
              <w:left w:w="20" w:type="dxa"/>
              <w:right w:w="20" w:type="dxa"/>
            </w:tcMar>
            <w:vAlign w:val="center"/>
          </w:tcPr>
          <w:p>
            <w:pPr>
              <w:spacing w:line="240" w:lineRule="atLeast"/>
              <w:jc w:val="center"/>
            </w:pPr>
          </w:p>
        </w:tc>
        <w:tc>
          <w:tcPr>
            <w:tcW w:w="4961" w:type="dxa"/>
            <w:noWrap w:val="0"/>
            <w:vAlign w:val="center"/>
          </w:tcPr>
          <w:p>
            <w:pPr>
              <w:spacing w:line="240" w:lineRule="atLeast"/>
              <w:jc w:val="left"/>
            </w:pPr>
            <w:r>
              <w:rPr>
                <w:rFonts w:hint="eastAsia"/>
              </w:rPr>
              <w:t>深入推进党务、政务公开，做好本部门廉政风险点排查及防控工作。</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b/>
              </w:rPr>
            </w:pPr>
          </w:p>
        </w:tc>
        <w:tc>
          <w:tcPr>
            <w:tcW w:w="3120" w:type="dxa"/>
            <w:vMerge w:val="restart"/>
            <w:noWrap w:val="0"/>
            <w:tcMar>
              <w:left w:w="20" w:type="dxa"/>
              <w:right w:w="20" w:type="dxa"/>
            </w:tcMar>
            <w:vAlign w:val="center"/>
          </w:tcPr>
          <w:p>
            <w:pPr>
              <w:spacing w:line="240" w:lineRule="atLeast"/>
              <w:jc w:val="center"/>
            </w:pPr>
            <w:r>
              <w:rPr>
                <w:rFonts w:hint="eastAsia"/>
              </w:rPr>
              <w:t>加强党内监督</w:t>
            </w:r>
          </w:p>
        </w:tc>
        <w:tc>
          <w:tcPr>
            <w:tcW w:w="4961" w:type="dxa"/>
            <w:noWrap w:val="0"/>
            <w:vAlign w:val="center"/>
          </w:tcPr>
          <w:p>
            <w:pPr>
              <w:spacing w:line="240" w:lineRule="atLeast"/>
              <w:jc w:val="left"/>
            </w:pPr>
            <w:r>
              <w:rPr>
                <w:rFonts w:hint="eastAsia"/>
              </w:rPr>
              <w:t>严格执行《中国共产党党内监督条例》等党内法规。</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noWrap w:val="0"/>
            <w:vAlign w:val="center"/>
          </w:tcPr>
          <w:p>
            <w:pPr>
              <w:spacing w:line="240" w:lineRule="atLeast"/>
              <w:jc w:val="center"/>
              <w:rPr>
                <w:b/>
              </w:rPr>
            </w:pPr>
          </w:p>
        </w:tc>
        <w:tc>
          <w:tcPr>
            <w:tcW w:w="3120" w:type="dxa"/>
            <w:vMerge w:val="continue"/>
            <w:noWrap w:val="0"/>
            <w:tcMar>
              <w:left w:w="20" w:type="dxa"/>
              <w:right w:w="20" w:type="dxa"/>
            </w:tcMar>
            <w:vAlign w:val="center"/>
          </w:tcPr>
          <w:p>
            <w:pPr>
              <w:spacing w:line="240" w:lineRule="atLeast"/>
            </w:pPr>
          </w:p>
        </w:tc>
        <w:tc>
          <w:tcPr>
            <w:tcW w:w="4961" w:type="dxa"/>
            <w:noWrap w:val="0"/>
            <w:vAlign w:val="center"/>
          </w:tcPr>
          <w:p>
            <w:pPr>
              <w:spacing w:line="240" w:lineRule="atLeast"/>
              <w:jc w:val="left"/>
            </w:pPr>
            <w:r>
              <w:rPr>
                <w:rFonts w:hint="eastAsia"/>
              </w:rPr>
              <w:t>支持学校纪委和基层党组织纪检委员工作，配合学校纪检监察部门查办信访举报和问题线索处置及案件调查等事项。</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22" w:type="dxa"/>
            <w:vMerge w:val="restart"/>
            <w:noWrap w:val="0"/>
            <w:vAlign w:val="center"/>
          </w:tcPr>
          <w:p>
            <w:pPr>
              <w:spacing w:line="240" w:lineRule="atLeast"/>
              <w:jc w:val="center"/>
              <w:rPr>
                <w:rFonts w:hint="eastAsia"/>
                <w:b/>
              </w:rPr>
            </w:pPr>
            <w:r>
              <w:rPr>
                <w:rFonts w:hint="eastAsia"/>
                <w:b/>
              </w:rPr>
              <w:t>十、国际</w:t>
            </w:r>
          </w:p>
          <w:p>
            <w:pPr>
              <w:spacing w:line="240" w:lineRule="atLeast"/>
              <w:jc w:val="center"/>
              <w:rPr>
                <w:rFonts w:hint="eastAsia"/>
                <w:b/>
              </w:rPr>
            </w:pPr>
            <w:r>
              <w:rPr>
                <w:rFonts w:hint="eastAsia"/>
                <w:b/>
              </w:rPr>
              <w:t>交流工作</w:t>
            </w:r>
            <w:r>
              <w:rPr>
                <w:rFonts w:hint="eastAsia"/>
                <w:color w:val="FF0000"/>
                <w:kern w:val="0"/>
              </w:rPr>
              <w:t>（</w:t>
            </w:r>
            <w:r>
              <w:rPr>
                <w:rFonts w:hint="eastAsia" w:cs="宋体"/>
                <w:color w:val="FF0000"/>
              </w:rPr>
              <w:t>马院、体育教学部无此项</w:t>
            </w:r>
            <w:r>
              <w:rPr>
                <w:rFonts w:hint="eastAsia"/>
                <w:color w:val="FF0000"/>
                <w:kern w:val="0"/>
              </w:rPr>
              <w:t>）</w:t>
            </w:r>
          </w:p>
        </w:tc>
        <w:tc>
          <w:tcPr>
            <w:tcW w:w="3120" w:type="dxa"/>
            <w:noWrap w:val="0"/>
            <w:tcMar>
              <w:left w:w="20" w:type="dxa"/>
              <w:right w:w="20" w:type="dxa"/>
            </w:tcMar>
            <w:vAlign w:val="center"/>
          </w:tcPr>
          <w:p>
            <w:pPr>
              <w:widowControl/>
              <w:spacing w:line="240" w:lineRule="atLeast"/>
              <w:jc w:val="center"/>
              <w:textAlignment w:val="center"/>
              <w:rPr>
                <w:rFonts w:hint="eastAsia"/>
              </w:rPr>
            </w:pPr>
            <w:r>
              <w:rPr>
                <w:rFonts w:hint="eastAsia"/>
              </w:rPr>
              <w:t>重点指标</w:t>
            </w:r>
          </w:p>
        </w:tc>
        <w:tc>
          <w:tcPr>
            <w:tcW w:w="4961" w:type="dxa"/>
            <w:noWrap w:val="0"/>
            <w:vAlign w:val="center"/>
          </w:tcPr>
          <w:p>
            <w:pPr>
              <w:widowControl/>
              <w:spacing w:line="240" w:lineRule="atLeast"/>
              <w:jc w:val="left"/>
              <w:textAlignment w:val="center"/>
            </w:pPr>
            <w:r>
              <w:rPr>
                <w:rFonts w:hint="eastAsia"/>
              </w:rPr>
              <w:t>1.中外合作办学项目、中外高校学分互认联合培养项目及留学生数；</w:t>
            </w:r>
            <w:r>
              <w:t>获得双学位学生数；</w:t>
            </w:r>
          </w:p>
          <w:p>
            <w:pPr>
              <w:widowControl/>
              <w:spacing w:line="240" w:lineRule="atLeast"/>
              <w:jc w:val="left"/>
              <w:textAlignment w:val="center"/>
            </w:pPr>
            <w:r>
              <w:t>2</w:t>
            </w:r>
            <w:r>
              <w:rPr>
                <w:rFonts w:hint="eastAsia"/>
              </w:rPr>
              <w:t>.出国（境）学习交流学生数（含线上）；应届毕业生赴境外大学攻读硕士学位学生数</w:t>
            </w:r>
            <w:r>
              <w:t>；</w:t>
            </w:r>
          </w:p>
          <w:p>
            <w:pPr>
              <w:widowControl/>
              <w:spacing w:line="240" w:lineRule="atLeast"/>
              <w:jc w:val="left"/>
              <w:textAlignment w:val="center"/>
            </w:pPr>
            <w:r>
              <w:t>3.</w:t>
            </w:r>
            <w:r>
              <w:rPr>
                <w:rFonts w:hint="eastAsia"/>
              </w:rPr>
              <w:t>与海外联合申请市级以上联合实验室、国际联合研究中心、研发机构或联合研究项目数、海外人才引进项目数；</w:t>
            </w:r>
          </w:p>
          <w:p>
            <w:pPr>
              <w:widowControl/>
              <w:spacing w:line="240" w:lineRule="atLeast"/>
              <w:jc w:val="left"/>
              <w:textAlignment w:val="center"/>
            </w:pPr>
            <w:r>
              <w:t>4</w:t>
            </w:r>
            <w:r>
              <w:rPr>
                <w:rFonts w:hint="eastAsia"/>
              </w:rPr>
              <w:t>.海外学者来校讲学与合作研究人次；</w:t>
            </w:r>
          </w:p>
          <w:p>
            <w:pPr>
              <w:widowControl/>
              <w:spacing w:line="240" w:lineRule="atLeast"/>
              <w:jc w:val="left"/>
              <w:textAlignment w:val="center"/>
              <w:rPr>
                <w:rFonts w:hint="eastAsia" w:cs="宋体"/>
              </w:rPr>
            </w:pPr>
            <w:r>
              <w:t>5</w:t>
            </w:r>
            <w:r>
              <w:rPr>
                <w:rFonts w:hint="eastAsia"/>
              </w:rPr>
              <w:t>.</w:t>
            </w:r>
            <w:r>
              <w:rPr>
                <w:rFonts w:cs="宋体"/>
              </w:rPr>
              <w:t>主办或承办国际学术会议</w:t>
            </w:r>
            <w:r>
              <w:rPr>
                <w:rFonts w:hint="eastAsia" w:cs="宋体"/>
              </w:rPr>
              <w:t>；参加国外学术会议并提交论文或做主题报告数（含线上）；</w:t>
            </w:r>
            <w:r>
              <w:rPr>
                <w:rFonts w:cs="宋体"/>
              </w:rPr>
              <w:t>国际合作发表论文数</w:t>
            </w:r>
            <w:r>
              <w:rPr>
                <w:rFonts w:hint="eastAsia" w:cs="宋体"/>
              </w:rPr>
              <w:t>；</w:t>
            </w:r>
          </w:p>
          <w:p>
            <w:pPr>
              <w:widowControl/>
              <w:spacing w:line="240" w:lineRule="atLeast"/>
              <w:jc w:val="left"/>
              <w:textAlignment w:val="center"/>
            </w:pPr>
            <w:r>
              <w:t>6</w:t>
            </w:r>
            <w:r>
              <w:rPr>
                <w:rFonts w:hint="eastAsia"/>
              </w:rPr>
              <w:t>.与国外大学签署协议，开展实质性合作交流学校数</w:t>
            </w:r>
          </w:p>
          <w:p>
            <w:pPr>
              <w:widowControl/>
              <w:spacing w:line="240" w:lineRule="atLeast"/>
              <w:jc w:val="left"/>
              <w:textAlignment w:val="center"/>
              <w:rPr>
                <w:rFonts w:hint="eastAsia"/>
              </w:rPr>
            </w:pPr>
            <w:r>
              <w:t>7.参与中德亚琛中心建设，与德国亚琛工业大学开展实质性合作</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22" w:type="dxa"/>
            <w:vMerge w:val="continue"/>
            <w:noWrap w:val="0"/>
            <w:vAlign w:val="center"/>
          </w:tcPr>
          <w:p>
            <w:pPr>
              <w:spacing w:line="240" w:lineRule="atLeast"/>
              <w:jc w:val="center"/>
              <w:rPr>
                <w:rFonts w:hint="eastAsia"/>
                <w:b/>
              </w:rPr>
            </w:pPr>
          </w:p>
        </w:tc>
        <w:tc>
          <w:tcPr>
            <w:tcW w:w="3120" w:type="dxa"/>
            <w:noWrap w:val="0"/>
            <w:tcMar>
              <w:left w:w="20" w:type="dxa"/>
              <w:right w:w="20" w:type="dxa"/>
            </w:tcMar>
            <w:vAlign w:val="center"/>
          </w:tcPr>
          <w:p>
            <w:pPr>
              <w:widowControl/>
              <w:spacing w:line="240" w:lineRule="atLeast"/>
              <w:jc w:val="center"/>
              <w:textAlignment w:val="center"/>
              <w:rPr>
                <w:rFonts w:hint="eastAsia"/>
              </w:rPr>
            </w:pPr>
            <w:r>
              <w:rPr>
                <w:rFonts w:hint="eastAsia"/>
              </w:rPr>
              <w:t>常规任务</w:t>
            </w:r>
          </w:p>
        </w:tc>
        <w:tc>
          <w:tcPr>
            <w:tcW w:w="4961" w:type="dxa"/>
            <w:noWrap w:val="0"/>
            <w:vAlign w:val="center"/>
          </w:tcPr>
          <w:p>
            <w:pPr>
              <w:widowControl/>
              <w:spacing w:line="240" w:lineRule="atLeast"/>
              <w:jc w:val="left"/>
              <w:textAlignment w:val="center"/>
              <w:rPr>
                <w:rFonts w:hint="eastAsia"/>
              </w:rPr>
            </w:pPr>
            <w:r>
              <w:rPr>
                <w:rFonts w:hint="eastAsia"/>
              </w:rPr>
              <w:t>学院有指定的分管国际交流工作的领导、外事秘书、兼职辅导员（有留学生学院），</w:t>
            </w:r>
            <w:r>
              <w:t>国际化</w:t>
            </w:r>
            <w:r>
              <w:rPr>
                <w:rFonts w:hint="eastAsia"/>
              </w:rPr>
              <w:t>队伍建设有成果；外事管理规范；加大国际化工作宣传，国际化参与程度高；</w:t>
            </w:r>
            <w:r>
              <w:t>国际</w:t>
            </w:r>
            <w:r>
              <w:rPr>
                <w:rFonts w:hint="eastAsia"/>
              </w:rPr>
              <w:t>教育规范、有序开展。</w:t>
            </w:r>
          </w:p>
        </w:tc>
        <w:tc>
          <w:tcPr>
            <w:tcW w:w="1165" w:type="dxa"/>
            <w:tcBorders>
              <w:bottom w:val="single" w:color="auto" w:sz="4" w:space="0"/>
            </w:tcBorders>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22" w:type="dxa"/>
            <w:vMerge w:val="restart"/>
            <w:noWrap w:val="0"/>
            <w:vAlign w:val="center"/>
          </w:tcPr>
          <w:p>
            <w:pPr>
              <w:spacing w:line="240" w:lineRule="atLeast"/>
              <w:jc w:val="center"/>
              <w:rPr>
                <w:rFonts w:hint="eastAsia"/>
                <w:b/>
                <w:kern w:val="0"/>
              </w:rPr>
            </w:pPr>
            <w:r>
              <w:rPr>
                <w:rFonts w:hint="eastAsia"/>
                <w:b/>
                <w:kern w:val="0"/>
              </w:rPr>
              <w:t>十一、共青团工作</w:t>
            </w:r>
            <w:r>
              <w:rPr>
                <w:rFonts w:hint="eastAsia"/>
                <w:color w:val="FF0000"/>
                <w:kern w:val="0"/>
              </w:rPr>
              <w:t>（</w:t>
            </w:r>
            <w:r>
              <w:rPr>
                <w:rFonts w:hint="eastAsia" w:cs="宋体"/>
                <w:color w:val="FF0000"/>
              </w:rPr>
              <w:t>马院、体育教学部无此项</w:t>
            </w:r>
            <w:r>
              <w:rPr>
                <w:rFonts w:hint="eastAsia"/>
                <w:color w:val="FF0000"/>
                <w:kern w:val="0"/>
              </w:rPr>
              <w:t>）</w:t>
            </w:r>
          </w:p>
        </w:tc>
        <w:tc>
          <w:tcPr>
            <w:tcW w:w="3120" w:type="dxa"/>
            <w:noWrap w:val="0"/>
            <w:tcMar>
              <w:left w:w="20" w:type="dxa"/>
              <w:right w:w="20" w:type="dxa"/>
            </w:tcMar>
            <w:vAlign w:val="center"/>
          </w:tcPr>
          <w:p>
            <w:pPr>
              <w:spacing w:line="240" w:lineRule="atLeast"/>
              <w:jc w:val="center"/>
              <w:rPr>
                <w:rFonts w:hint="eastAsia"/>
                <w:color w:val="000000"/>
                <w:kern w:val="0"/>
              </w:rPr>
            </w:pPr>
            <w:r>
              <w:rPr>
                <w:color w:val="000000"/>
                <w:kern w:val="0"/>
              </w:rPr>
              <w:t>思想政治引领</w:t>
            </w:r>
          </w:p>
        </w:tc>
        <w:tc>
          <w:tcPr>
            <w:tcW w:w="4961" w:type="dxa"/>
            <w:noWrap w:val="0"/>
            <w:vAlign w:val="center"/>
          </w:tcPr>
          <w:p>
            <w:pPr>
              <w:widowControl/>
              <w:spacing w:line="240" w:lineRule="atLeast"/>
              <w:jc w:val="left"/>
              <w:textAlignment w:val="center"/>
              <w:rPr>
                <w:rFonts w:hint="eastAsia"/>
                <w:color w:val="000000"/>
                <w:kern w:val="0"/>
              </w:rPr>
            </w:pPr>
            <w:r>
              <w:rPr>
                <w:rFonts w:hint="eastAsia"/>
                <w:color w:val="000000"/>
                <w:kern w:val="0"/>
              </w:rPr>
              <w:t>1</w:t>
            </w:r>
            <w:r>
              <w:rPr>
                <w:color w:val="000000"/>
                <w:kern w:val="0"/>
              </w:rPr>
              <w:t>.</w:t>
            </w:r>
            <w:r>
              <w:rPr>
                <w:rFonts w:hint="eastAsia"/>
                <w:color w:val="000000"/>
                <w:kern w:val="0"/>
              </w:rPr>
              <w:t>广泛开展“学习二十大、永远跟党走、奋进新征程”主题教育；</w:t>
            </w:r>
          </w:p>
          <w:p>
            <w:pPr>
              <w:widowControl/>
              <w:spacing w:line="240" w:lineRule="atLeast"/>
              <w:jc w:val="left"/>
              <w:textAlignment w:val="center"/>
              <w:rPr>
                <w:rFonts w:hint="eastAsia" w:cs="Arial"/>
                <w:color w:val="000000"/>
              </w:rPr>
            </w:pPr>
            <w:r>
              <w:rPr>
                <w:rFonts w:hint="eastAsia" w:cs="Arial"/>
                <w:color w:val="000000"/>
              </w:rPr>
              <w:t>2</w:t>
            </w:r>
            <w:r>
              <w:rPr>
                <w:rFonts w:cs="Arial"/>
                <w:color w:val="000000"/>
              </w:rPr>
              <w:t>.</w:t>
            </w:r>
            <w:r>
              <w:rPr>
                <w:rFonts w:hint="eastAsia" w:cs="Arial"/>
                <w:color w:val="000000"/>
              </w:rPr>
              <w:t>组织团员青年积极参与“青年大学习”网上主题团课学习，平均参与率达1</w:t>
            </w:r>
            <w:r>
              <w:rPr>
                <w:rFonts w:cs="Arial"/>
                <w:color w:val="000000"/>
              </w:rPr>
              <w:t>00</w:t>
            </w:r>
            <w:r>
              <w:rPr>
                <w:rFonts w:hint="eastAsia" w:cs="Arial"/>
                <w:color w:val="000000"/>
              </w:rPr>
              <w:t>%；</w:t>
            </w:r>
          </w:p>
          <w:p>
            <w:pPr>
              <w:widowControl/>
              <w:spacing w:line="240" w:lineRule="atLeast"/>
              <w:jc w:val="left"/>
              <w:textAlignment w:val="center"/>
              <w:rPr>
                <w:rFonts w:hint="eastAsia" w:cs="Arial"/>
                <w:color w:val="000000"/>
              </w:rPr>
            </w:pPr>
            <w:r>
              <w:rPr>
                <w:rFonts w:hint="eastAsia" w:cs="Arial"/>
                <w:color w:val="000000"/>
              </w:rPr>
              <w:t>3</w:t>
            </w:r>
            <w:r>
              <w:rPr>
                <w:rFonts w:cs="Arial"/>
                <w:color w:val="000000"/>
              </w:rPr>
              <w:t>.</w:t>
            </w:r>
            <w:r>
              <w:rPr>
                <w:rFonts w:hint="eastAsia" w:cs="Arial"/>
                <w:color w:val="000000"/>
              </w:rPr>
              <w:t>深入实施“信仰公开课”计划，做好校级示范课培育和宣传推广工作；</w:t>
            </w:r>
          </w:p>
          <w:p>
            <w:pPr>
              <w:widowControl/>
              <w:spacing w:line="240" w:lineRule="atLeast"/>
              <w:jc w:val="left"/>
              <w:textAlignment w:val="center"/>
              <w:rPr>
                <w:color w:val="000000"/>
                <w:kern w:val="0"/>
              </w:rPr>
            </w:pPr>
            <w:r>
              <w:rPr>
                <w:rFonts w:hint="eastAsia"/>
                <w:color w:val="000000"/>
                <w:kern w:val="0"/>
              </w:rPr>
              <w:t>4</w:t>
            </w:r>
            <w:r>
              <w:rPr>
                <w:color w:val="000000"/>
                <w:kern w:val="0"/>
              </w:rPr>
              <w:t>.</w:t>
            </w:r>
            <w:r>
              <w:rPr>
                <w:rFonts w:hint="eastAsia"/>
                <w:color w:val="000000"/>
                <w:kern w:val="0"/>
              </w:rPr>
              <w:t>办好二级学院“青马工程”培训班，推荐校院两级优秀“青马学员”作党的发展对象；</w:t>
            </w:r>
          </w:p>
          <w:p>
            <w:pPr>
              <w:widowControl/>
              <w:spacing w:line="240" w:lineRule="atLeast"/>
              <w:jc w:val="left"/>
              <w:textAlignment w:val="center"/>
              <w:rPr>
                <w:rFonts w:hint="eastAsia"/>
                <w:color w:val="000000"/>
                <w:kern w:val="0"/>
              </w:rPr>
            </w:pPr>
            <w:r>
              <w:rPr>
                <w:rFonts w:hint="eastAsia"/>
                <w:color w:val="000000"/>
                <w:kern w:val="0"/>
              </w:rPr>
              <w:t>5</w:t>
            </w:r>
            <w:r>
              <w:rPr>
                <w:color w:val="000000"/>
                <w:kern w:val="0"/>
              </w:rPr>
              <w:t>.</w:t>
            </w:r>
            <w:r>
              <w:rPr>
                <w:rFonts w:hint="eastAsia"/>
                <w:color w:val="000000"/>
                <w:kern w:val="0"/>
              </w:rPr>
              <w:t>加强团属新媒体阵地规范管理，严格落实“三审三校”制度。</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2" w:type="dxa"/>
            <w:vMerge w:val="continue"/>
            <w:noWrap w:val="0"/>
            <w:vAlign w:val="center"/>
          </w:tcPr>
          <w:p>
            <w:pPr>
              <w:spacing w:line="240" w:lineRule="atLeast"/>
              <w:jc w:val="center"/>
              <w:rPr>
                <w:rFonts w:hint="eastAsia"/>
                <w:b/>
                <w:kern w:val="0"/>
              </w:rPr>
            </w:pPr>
          </w:p>
        </w:tc>
        <w:tc>
          <w:tcPr>
            <w:tcW w:w="3120" w:type="dxa"/>
            <w:noWrap w:val="0"/>
            <w:tcMar>
              <w:left w:w="20" w:type="dxa"/>
              <w:right w:w="20" w:type="dxa"/>
            </w:tcMar>
            <w:vAlign w:val="center"/>
          </w:tcPr>
          <w:p>
            <w:pPr>
              <w:spacing w:line="240" w:lineRule="atLeast"/>
              <w:jc w:val="center"/>
              <w:rPr>
                <w:color w:val="000000"/>
                <w:kern w:val="0"/>
              </w:rPr>
            </w:pPr>
            <w:r>
              <w:rPr>
                <w:rFonts w:cs="Arial"/>
                <w:color w:val="000000"/>
              </w:rPr>
              <w:t>学生成长</w:t>
            </w:r>
            <w:r>
              <w:rPr>
                <w:rFonts w:hint="eastAsia" w:cs="Arial"/>
                <w:color w:val="000000"/>
              </w:rPr>
              <w:t>发展</w:t>
            </w:r>
          </w:p>
        </w:tc>
        <w:tc>
          <w:tcPr>
            <w:tcW w:w="4961" w:type="dxa"/>
            <w:noWrap w:val="0"/>
            <w:vAlign w:val="center"/>
          </w:tcPr>
          <w:p>
            <w:pPr>
              <w:widowControl/>
              <w:spacing w:line="240" w:lineRule="atLeast"/>
              <w:jc w:val="left"/>
              <w:textAlignment w:val="center"/>
              <w:rPr>
                <w:rFonts w:hint="eastAsia"/>
                <w:color w:val="000000"/>
                <w:kern w:val="0"/>
              </w:rPr>
            </w:pPr>
            <w:r>
              <w:rPr>
                <w:rFonts w:hint="eastAsia"/>
                <w:color w:val="000000"/>
                <w:kern w:val="0"/>
              </w:rPr>
              <w:t>1</w:t>
            </w:r>
            <w:r>
              <w:rPr>
                <w:color w:val="000000"/>
                <w:kern w:val="0"/>
              </w:rPr>
              <w:t>.</w:t>
            </w:r>
            <w:r>
              <w:rPr>
                <w:rFonts w:hint="eastAsia"/>
                <w:color w:val="000000"/>
                <w:kern w:val="0"/>
              </w:rPr>
              <w:t>提升第二课堂课程质量，积极参与第二课堂“金课”建设；</w:t>
            </w:r>
          </w:p>
          <w:p>
            <w:pPr>
              <w:widowControl/>
              <w:spacing w:line="240" w:lineRule="atLeast"/>
              <w:jc w:val="left"/>
              <w:textAlignment w:val="center"/>
              <w:rPr>
                <w:rFonts w:hint="eastAsia"/>
                <w:color w:val="000000"/>
                <w:kern w:val="0"/>
              </w:rPr>
            </w:pPr>
            <w:r>
              <w:rPr>
                <w:rFonts w:hint="eastAsia"/>
                <w:color w:val="000000"/>
                <w:kern w:val="0"/>
              </w:rPr>
              <w:t>2</w:t>
            </w:r>
            <w:r>
              <w:rPr>
                <w:color w:val="000000"/>
                <w:kern w:val="0"/>
              </w:rPr>
              <w:t>.</w:t>
            </w:r>
            <w:r>
              <w:rPr>
                <w:rFonts w:hint="eastAsia"/>
                <w:color w:val="000000"/>
                <w:kern w:val="0"/>
              </w:rPr>
              <w:t>广泛开展社会实践和志愿服务活动，打造精品实践项目；</w:t>
            </w:r>
          </w:p>
          <w:p>
            <w:pPr>
              <w:widowControl/>
              <w:spacing w:line="240" w:lineRule="atLeast"/>
              <w:jc w:val="left"/>
              <w:textAlignment w:val="center"/>
              <w:rPr>
                <w:rFonts w:hint="eastAsia"/>
                <w:color w:val="000000"/>
                <w:kern w:val="0"/>
              </w:rPr>
            </w:pPr>
            <w:r>
              <w:rPr>
                <w:rFonts w:hint="eastAsia"/>
                <w:color w:val="000000"/>
                <w:kern w:val="0"/>
              </w:rPr>
              <w:t>3</w:t>
            </w:r>
            <w:r>
              <w:rPr>
                <w:color w:val="000000"/>
                <w:kern w:val="0"/>
              </w:rPr>
              <w:t>.</w:t>
            </w:r>
            <w:r>
              <w:rPr>
                <w:rFonts w:hint="eastAsia"/>
                <w:color w:val="000000"/>
                <w:kern w:val="0"/>
              </w:rPr>
              <w:t>推进学生社团规范化管理、精品化建设和高质量发展；</w:t>
            </w:r>
          </w:p>
          <w:p>
            <w:pPr>
              <w:widowControl/>
              <w:spacing w:line="240" w:lineRule="atLeast"/>
              <w:jc w:val="left"/>
              <w:textAlignment w:val="center"/>
              <w:rPr>
                <w:rFonts w:hint="eastAsia"/>
                <w:color w:val="000000"/>
                <w:kern w:val="0"/>
              </w:rPr>
            </w:pPr>
            <w:r>
              <w:rPr>
                <w:rFonts w:hint="eastAsia"/>
                <w:color w:val="000000"/>
                <w:kern w:val="0"/>
              </w:rPr>
              <w:t>4</w:t>
            </w:r>
            <w:r>
              <w:rPr>
                <w:color w:val="000000"/>
                <w:kern w:val="0"/>
              </w:rPr>
              <w:t>.</w:t>
            </w:r>
            <w:r>
              <w:rPr>
                <w:rFonts w:hint="eastAsia"/>
                <w:color w:val="000000"/>
                <w:kern w:val="0"/>
              </w:rPr>
              <w:t>组织参加第七届江苏省大学生艺术展演活动。</w:t>
            </w:r>
          </w:p>
        </w:tc>
        <w:tc>
          <w:tcPr>
            <w:tcW w:w="1165" w:type="dxa"/>
            <w:noWrap w:val="0"/>
            <w:tcMar>
              <w:left w:w="20" w:type="dxa"/>
              <w:right w:w="20" w:type="dxa"/>
            </w:tcMar>
            <w:vAlign w:val="center"/>
          </w:tcPr>
          <w:p>
            <w:pPr>
              <w:spacing w:line="240" w:lineRule="atLeast"/>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2" w:type="dxa"/>
            <w:vMerge w:val="continue"/>
            <w:noWrap w:val="0"/>
            <w:vAlign w:val="center"/>
          </w:tcPr>
          <w:p>
            <w:pPr>
              <w:spacing w:line="240" w:lineRule="atLeast"/>
              <w:jc w:val="center"/>
              <w:rPr>
                <w:rFonts w:hint="eastAsia"/>
                <w:b/>
                <w:kern w:val="0"/>
              </w:rPr>
            </w:pPr>
          </w:p>
        </w:tc>
        <w:tc>
          <w:tcPr>
            <w:tcW w:w="3120" w:type="dxa"/>
            <w:noWrap w:val="0"/>
            <w:tcMar>
              <w:left w:w="20" w:type="dxa"/>
              <w:right w:w="20" w:type="dxa"/>
            </w:tcMar>
            <w:vAlign w:val="center"/>
          </w:tcPr>
          <w:p>
            <w:pPr>
              <w:spacing w:line="240" w:lineRule="atLeast"/>
              <w:jc w:val="center"/>
              <w:rPr>
                <w:rFonts w:hint="eastAsia"/>
                <w:color w:val="000000"/>
                <w:kern w:val="0"/>
              </w:rPr>
            </w:pPr>
            <w:r>
              <w:rPr>
                <w:rFonts w:hint="eastAsia"/>
                <w:color w:val="000000"/>
                <w:kern w:val="0"/>
              </w:rPr>
              <w:t>基层</w:t>
            </w:r>
            <w:r>
              <w:rPr>
                <w:color w:val="000000"/>
                <w:kern w:val="0"/>
              </w:rPr>
              <w:t>组织提升</w:t>
            </w:r>
          </w:p>
        </w:tc>
        <w:tc>
          <w:tcPr>
            <w:tcW w:w="4961" w:type="dxa"/>
            <w:noWrap w:val="0"/>
            <w:vAlign w:val="center"/>
          </w:tcPr>
          <w:p>
            <w:pPr>
              <w:widowControl/>
              <w:spacing w:line="240" w:lineRule="atLeast"/>
              <w:jc w:val="left"/>
              <w:textAlignment w:val="center"/>
              <w:rPr>
                <w:color w:val="000000"/>
                <w:kern w:val="0"/>
              </w:rPr>
            </w:pPr>
            <w:r>
              <w:rPr>
                <w:rFonts w:hint="eastAsia"/>
                <w:color w:val="000000"/>
                <w:kern w:val="0"/>
              </w:rPr>
              <w:t>1</w:t>
            </w:r>
            <w:r>
              <w:rPr>
                <w:color w:val="000000"/>
                <w:kern w:val="0"/>
              </w:rPr>
              <w:t>.</w:t>
            </w:r>
            <w:r>
              <w:rPr>
                <w:rFonts w:hint="eastAsia"/>
                <w:color w:val="000000"/>
                <w:kern w:val="0"/>
              </w:rPr>
              <w:t>积极组织参与团干部思政技能大比武系列比赛；</w:t>
            </w:r>
          </w:p>
          <w:p>
            <w:pPr>
              <w:widowControl/>
              <w:spacing w:line="240" w:lineRule="atLeast"/>
              <w:jc w:val="left"/>
              <w:textAlignment w:val="center"/>
              <w:rPr>
                <w:rFonts w:hint="eastAsia"/>
                <w:color w:val="000000"/>
                <w:kern w:val="0"/>
              </w:rPr>
            </w:pPr>
            <w:r>
              <w:rPr>
                <w:color w:val="000000"/>
                <w:kern w:val="0"/>
              </w:rPr>
              <w:t>2.</w:t>
            </w:r>
            <w:r>
              <w:rPr>
                <w:rFonts w:hint="eastAsia"/>
                <w:color w:val="000000"/>
                <w:kern w:val="0"/>
              </w:rPr>
              <w:t>实施“两清单一创争三落实”团支部建设计划；</w:t>
            </w:r>
          </w:p>
          <w:p>
            <w:pPr>
              <w:widowControl/>
              <w:spacing w:line="240" w:lineRule="atLeast"/>
              <w:jc w:val="left"/>
              <w:textAlignment w:val="center"/>
              <w:rPr>
                <w:rFonts w:hint="eastAsia"/>
                <w:color w:val="000000"/>
                <w:kern w:val="0"/>
              </w:rPr>
            </w:pPr>
            <w:r>
              <w:rPr>
                <w:rFonts w:hint="eastAsia"/>
                <w:color w:val="000000"/>
                <w:kern w:val="0"/>
              </w:rPr>
              <w:t>3</w:t>
            </w:r>
            <w:r>
              <w:rPr>
                <w:color w:val="000000"/>
                <w:kern w:val="0"/>
              </w:rPr>
              <w:t>.</w:t>
            </w:r>
            <w:r>
              <w:rPr>
                <w:rFonts w:hint="eastAsia"/>
                <w:color w:val="000000"/>
                <w:kern w:val="0"/>
              </w:rPr>
              <w:t>规范开展“三会两制一课”、团员发展、推优入党、组织关系转接、对标定级等工作，学社衔接率达97%以上；</w:t>
            </w:r>
          </w:p>
          <w:p>
            <w:pPr>
              <w:widowControl/>
              <w:spacing w:line="240" w:lineRule="atLeast"/>
              <w:jc w:val="left"/>
              <w:textAlignment w:val="center"/>
              <w:rPr>
                <w:rFonts w:hint="eastAsia"/>
                <w:color w:val="000000"/>
                <w:kern w:val="0"/>
              </w:rPr>
            </w:pPr>
            <w:r>
              <w:rPr>
                <w:color w:val="000000"/>
                <w:kern w:val="0"/>
              </w:rPr>
              <w:t>4.</w:t>
            </w:r>
            <w:r>
              <w:rPr>
                <w:rFonts w:hint="eastAsia"/>
                <w:color w:val="000000"/>
                <w:kern w:val="0"/>
              </w:rPr>
              <w:t>创新共青团主题活动形式，不断提高活动质量；</w:t>
            </w:r>
          </w:p>
          <w:p>
            <w:pPr>
              <w:widowControl/>
              <w:spacing w:line="240" w:lineRule="atLeast"/>
              <w:jc w:val="left"/>
              <w:textAlignment w:val="center"/>
              <w:rPr>
                <w:rFonts w:hint="eastAsia"/>
                <w:color w:val="000000"/>
                <w:kern w:val="0"/>
              </w:rPr>
            </w:pPr>
            <w:r>
              <w:rPr>
                <w:color w:val="000000"/>
                <w:kern w:val="0"/>
              </w:rPr>
              <w:t>5.</w:t>
            </w:r>
            <w:r>
              <w:rPr>
                <w:rFonts w:hint="eastAsia"/>
                <w:color w:val="000000"/>
                <w:kern w:val="0"/>
              </w:rPr>
              <w:t>举办二级学院团学干部培训，指导学生会召开学生代表大会。</w:t>
            </w:r>
          </w:p>
        </w:tc>
        <w:tc>
          <w:tcPr>
            <w:tcW w:w="1165" w:type="dxa"/>
            <w:noWrap w:val="0"/>
            <w:tcMar>
              <w:left w:w="20" w:type="dxa"/>
              <w:right w:w="20" w:type="dxa"/>
            </w:tcMar>
            <w:vAlign w:val="center"/>
          </w:tcPr>
          <w:p>
            <w:pPr>
              <w:spacing w:line="240" w:lineRule="atLeast"/>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2" w:type="dxa"/>
            <w:vMerge w:val="continue"/>
            <w:noWrap w:val="0"/>
            <w:vAlign w:val="center"/>
          </w:tcPr>
          <w:p>
            <w:pPr>
              <w:spacing w:line="240" w:lineRule="atLeast"/>
              <w:jc w:val="center"/>
              <w:rPr>
                <w:rFonts w:hint="eastAsia"/>
                <w:b/>
                <w:kern w:val="0"/>
              </w:rPr>
            </w:pPr>
          </w:p>
        </w:tc>
        <w:tc>
          <w:tcPr>
            <w:tcW w:w="3120" w:type="dxa"/>
            <w:noWrap w:val="0"/>
            <w:tcMar>
              <w:left w:w="20" w:type="dxa"/>
              <w:right w:w="20" w:type="dxa"/>
            </w:tcMar>
            <w:vAlign w:val="center"/>
          </w:tcPr>
          <w:p>
            <w:pPr>
              <w:spacing w:line="240" w:lineRule="atLeast"/>
              <w:jc w:val="center"/>
              <w:rPr>
                <w:rFonts w:hint="eastAsia"/>
                <w:color w:val="000000"/>
                <w:kern w:val="0"/>
              </w:rPr>
            </w:pPr>
            <w:r>
              <w:rPr>
                <w:rFonts w:hint="eastAsia"/>
                <w:color w:val="000000"/>
                <w:kern w:val="0"/>
              </w:rPr>
              <w:t>青年关爱服务</w:t>
            </w:r>
          </w:p>
        </w:tc>
        <w:tc>
          <w:tcPr>
            <w:tcW w:w="4961" w:type="dxa"/>
            <w:noWrap w:val="0"/>
            <w:vAlign w:val="center"/>
          </w:tcPr>
          <w:p>
            <w:pPr>
              <w:widowControl/>
              <w:spacing w:line="240" w:lineRule="atLeast"/>
              <w:jc w:val="left"/>
              <w:textAlignment w:val="center"/>
              <w:rPr>
                <w:color w:val="000000"/>
                <w:kern w:val="0"/>
              </w:rPr>
            </w:pPr>
            <w:r>
              <w:rPr>
                <w:rFonts w:hint="eastAsia"/>
                <w:color w:val="000000"/>
                <w:kern w:val="0"/>
              </w:rPr>
              <w:t>1</w:t>
            </w:r>
            <w:r>
              <w:rPr>
                <w:color w:val="000000"/>
                <w:kern w:val="0"/>
              </w:rPr>
              <w:t>.</w:t>
            </w:r>
            <w:r>
              <w:rPr>
                <w:rFonts w:hint="eastAsia"/>
                <w:color w:val="000000"/>
                <w:kern w:val="0"/>
              </w:rPr>
              <w:t>开展低收入家庭学生就业帮扶计划；</w:t>
            </w:r>
          </w:p>
          <w:p>
            <w:pPr>
              <w:widowControl/>
              <w:spacing w:line="240" w:lineRule="atLeast"/>
              <w:jc w:val="left"/>
              <w:textAlignment w:val="center"/>
              <w:rPr>
                <w:color w:val="000000"/>
                <w:kern w:val="0"/>
              </w:rPr>
            </w:pPr>
            <w:r>
              <w:rPr>
                <w:color w:val="000000"/>
                <w:kern w:val="0"/>
              </w:rPr>
              <w:t>2.</w:t>
            </w:r>
            <w:r>
              <w:rPr>
                <w:rFonts w:hint="eastAsia"/>
                <w:color w:val="000000"/>
                <w:kern w:val="0"/>
              </w:rPr>
              <w:t>深入推进“万生进千企、百家进校园”行动；</w:t>
            </w:r>
          </w:p>
          <w:p>
            <w:pPr>
              <w:widowControl/>
              <w:spacing w:line="240" w:lineRule="atLeast"/>
              <w:jc w:val="left"/>
              <w:textAlignment w:val="center"/>
              <w:rPr>
                <w:rFonts w:hint="eastAsia"/>
                <w:color w:val="000000"/>
                <w:kern w:val="0"/>
              </w:rPr>
            </w:pPr>
            <w:r>
              <w:rPr>
                <w:rFonts w:hint="eastAsia"/>
                <w:color w:val="000000"/>
                <w:kern w:val="0"/>
              </w:rPr>
              <w:t>3</w:t>
            </w:r>
            <w:r>
              <w:rPr>
                <w:color w:val="000000"/>
                <w:kern w:val="0"/>
              </w:rPr>
              <w:t>.</w:t>
            </w:r>
            <w:r>
              <w:rPr>
                <w:rFonts w:hint="eastAsia"/>
                <w:color w:val="000000"/>
                <w:kern w:val="0"/>
              </w:rPr>
              <w:t>开展“我为同学做实事”实践活动；</w:t>
            </w:r>
          </w:p>
          <w:p>
            <w:pPr>
              <w:widowControl/>
              <w:spacing w:line="240" w:lineRule="atLeast"/>
              <w:jc w:val="left"/>
              <w:textAlignment w:val="center"/>
              <w:rPr>
                <w:rFonts w:hint="eastAsia"/>
                <w:color w:val="000000"/>
                <w:kern w:val="0"/>
              </w:rPr>
            </w:pPr>
            <w:r>
              <w:rPr>
                <w:color w:val="000000"/>
                <w:kern w:val="0"/>
              </w:rPr>
              <w:t>4.</w:t>
            </w:r>
            <w:r>
              <w:rPr>
                <w:rFonts w:hint="eastAsia"/>
                <w:color w:val="000000"/>
                <w:kern w:val="0"/>
              </w:rPr>
              <w:t>承办2024年大学生文化艺术节活动，打造精品活动项目。</w:t>
            </w:r>
          </w:p>
        </w:tc>
        <w:tc>
          <w:tcPr>
            <w:tcW w:w="1165" w:type="dxa"/>
            <w:noWrap w:val="0"/>
            <w:tcMar>
              <w:left w:w="20" w:type="dxa"/>
              <w:right w:w="20" w:type="dxa"/>
            </w:tcMar>
            <w:vAlign w:val="center"/>
          </w:tcPr>
          <w:p>
            <w:pPr>
              <w:spacing w:line="240" w:lineRule="atLeast"/>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4" w:hRule="atLeast"/>
          <w:jc w:val="center"/>
        </w:trPr>
        <w:tc>
          <w:tcPr>
            <w:tcW w:w="1222" w:type="dxa"/>
            <w:vMerge w:val="restart"/>
            <w:noWrap w:val="0"/>
            <w:vAlign w:val="center"/>
          </w:tcPr>
          <w:p>
            <w:pPr>
              <w:spacing w:line="240" w:lineRule="atLeast"/>
              <w:jc w:val="center"/>
              <w:rPr>
                <w:rFonts w:hint="eastAsia"/>
                <w:b/>
              </w:rPr>
            </w:pPr>
            <w:r>
              <w:rPr>
                <w:rFonts w:hint="eastAsia"/>
                <w:b/>
              </w:rPr>
              <w:t>十二、教学质量管理与教师教学发展</w:t>
            </w:r>
          </w:p>
        </w:tc>
        <w:tc>
          <w:tcPr>
            <w:tcW w:w="3120" w:type="dxa"/>
            <w:noWrap w:val="0"/>
            <w:tcMar>
              <w:left w:w="20" w:type="dxa"/>
              <w:right w:w="20" w:type="dxa"/>
            </w:tcMar>
            <w:vAlign w:val="center"/>
          </w:tcPr>
          <w:p>
            <w:pPr>
              <w:spacing w:line="240" w:lineRule="atLeast"/>
              <w:jc w:val="center"/>
              <w:rPr>
                <w:rFonts w:hint="eastAsia"/>
              </w:rPr>
            </w:pPr>
            <w:r>
              <w:rPr>
                <w:rFonts w:hint="eastAsia"/>
              </w:rPr>
              <w:t>教学质量管理</w:t>
            </w:r>
          </w:p>
        </w:tc>
        <w:tc>
          <w:tcPr>
            <w:tcW w:w="4961" w:type="dxa"/>
            <w:noWrap w:val="0"/>
            <w:vAlign w:val="center"/>
          </w:tcPr>
          <w:p>
            <w:pPr>
              <w:snapToGrid w:val="0"/>
              <w:spacing w:line="276" w:lineRule="auto"/>
            </w:pPr>
            <w:r>
              <w:rPr>
                <w:rFonts w:hint="eastAsia"/>
              </w:rPr>
              <w:t>1．有完善的质量监控体系，各主要教学环节质量要求明确，各管理环节职责明确；有质量监控制度，能够运用多种方法手段进行质量监控，并持续改进。</w:t>
            </w:r>
          </w:p>
          <w:p>
            <w:pPr>
              <w:snapToGrid w:val="0"/>
              <w:spacing w:line="276" w:lineRule="auto"/>
              <w:rPr>
                <w:kern w:val="0"/>
              </w:rPr>
            </w:pPr>
            <w:r>
              <w:rPr>
                <w:rFonts w:hint="eastAsia"/>
                <w:kern w:val="0"/>
              </w:rPr>
              <w:t>2．领导干部与教职工听课</w:t>
            </w:r>
            <w:r>
              <w:rPr>
                <w:rFonts w:hint="eastAsia"/>
              </w:rPr>
              <w:t>达到《常州工学院教职工听课规定》要求。</w:t>
            </w:r>
          </w:p>
          <w:p>
            <w:pPr>
              <w:snapToGrid w:val="0"/>
              <w:spacing w:line="276" w:lineRule="auto"/>
              <w:rPr>
                <w:rFonts w:hint="eastAsia"/>
                <w:kern w:val="0"/>
              </w:rPr>
            </w:pPr>
            <w:r>
              <w:rPr>
                <w:rFonts w:hint="eastAsia"/>
              </w:rPr>
              <w:t>3．认真准备学校组织的教学资料评估、毕业设计（论文）评估、试卷评估等工作，取得较好成绩。</w:t>
            </w:r>
          </w:p>
          <w:p>
            <w:pPr>
              <w:snapToGrid w:val="0"/>
              <w:spacing w:line="276" w:lineRule="auto"/>
              <w:rPr>
                <w:kern w:val="0"/>
              </w:rPr>
            </w:pPr>
            <w:r>
              <w:rPr>
                <w:rFonts w:hint="eastAsia"/>
                <w:kern w:val="0"/>
              </w:rPr>
              <w:t>4．认真组织学生评教工作，学生评教参评率高，学生评教中教师平均得分高。</w:t>
            </w:r>
          </w:p>
          <w:p>
            <w:pPr>
              <w:snapToGrid w:val="0"/>
              <w:spacing w:line="276" w:lineRule="auto"/>
              <w:rPr>
                <w:kern w:val="0"/>
              </w:rPr>
            </w:pPr>
            <w:r>
              <w:rPr>
                <w:rFonts w:hint="eastAsia" w:cs="宋体"/>
                <w:kern w:val="0"/>
              </w:rPr>
              <w:t>5．专人负责《2</w:t>
            </w:r>
            <w:r>
              <w:rPr>
                <w:rFonts w:cs="宋体"/>
                <w:kern w:val="0"/>
              </w:rPr>
              <w:t>02</w:t>
            </w:r>
            <w:r>
              <w:rPr>
                <w:rFonts w:hint="eastAsia" w:cs="宋体"/>
                <w:kern w:val="0"/>
              </w:rPr>
              <w:t>3-</w:t>
            </w:r>
            <w:r>
              <w:rPr>
                <w:rFonts w:cs="宋体"/>
                <w:kern w:val="0"/>
              </w:rPr>
              <w:t>202</w:t>
            </w:r>
            <w:r>
              <w:rPr>
                <w:rFonts w:hint="eastAsia" w:cs="宋体"/>
                <w:kern w:val="0"/>
              </w:rPr>
              <w:t>4学年本科教学质量报告》</w:t>
            </w:r>
            <w:r>
              <w:rPr>
                <w:rFonts w:hint="eastAsia"/>
              </w:rPr>
              <w:t>，按时、准确完成本单位数据填报及文本撰写任务</w:t>
            </w:r>
            <w:r>
              <w:rPr>
                <w:rFonts w:hint="eastAsia"/>
                <w:kern w:val="0"/>
              </w:rPr>
              <w:t>。</w:t>
            </w:r>
          </w:p>
          <w:p>
            <w:pPr>
              <w:snapToGrid w:val="0"/>
              <w:spacing w:line="276" w:lineRule="auto"/>
              <w:rPr>
                <w:rFonts w:cs="宋体"/>
                <w:kern w:val="0"/>
              </w:rPr>
            </w:pPr>
            <w:r>
              <w:rPr>
                <w:rFonts w:cs="宋体"/>
                <w:kern w:val="0"/>
              </w:rPr>
              <w:t>6</w:t>
            </w:r>
            <w:r>
              <w:rPr>
                <w:rFonts w:hint="eastAsia" w:cs="宋体"/>
                <w:kern w:val="0"/>
              </w:rPr>
              <w:t>．专人负责</w:t>
            </w:r>
            <w:r>
              <w:rPr>
                <w:rFonts w:hint="eastAsia"/>
              </w:rPr>
              <w:t>2</w:t>
            </w:r>
            <w:r>
              <w:t>02</w:t>
            </w:r>
            <w:r>
              <w:rPr>
                <w:rFonts w:hint="eastAsia"/>
              </w:rPr>
              <w:t>4年</w:t>
            </w:r>
            <w:r>
              <w:rPr>
                <w:rFonts w:hint="eastAsia" w:cs="Arial"/>
              </w:rPr>
              <w:t>“高等教育质量监测国家数平台”数据填报工作</w:t>
            </w:r>
            <w:r>
              <w:rPr>
                <w:rFonts w:hint="eastAsia" w:cs="宋体"/>
                <w:kern w:val="0"/>
              </w:rPr>
              <w:t>，按时、准确完成本单位数据填报任务。</w:t>
            </w:r>
          </w:p>
          <w:p>
            <w:pPr>
              <w:snapToGrid w:val="0"/>
              <w:spacing w:line="276" w:lineRule="auto"/>
              <w:rPr>
                <w:rFonts w:cs="宋体"/>
                <w:kern w:val="0"/>
              </w:rPr>
            </w:pPr>
            <w:r>
              <w:rPr>
                <w:rFonts w:cs="宋体"/>
                <w:kern w:val="0"/>
              </w:rPr>
              <w:t>7</w:t>
            </w:r>
            <w:r>
              <w:rPr>
                <w:rFonts w:hint="eastAsia" w:cs="宋体"/>
                <w:kern w:val="0"/>
              </w:rPr>
              <w:t>．根据省教育评估院文件，组织做好国际经济与贸易、电子商务、汉语言文学、秘书学、广播电视编导、应用化学等6个专业的专业综合评估工作。</w:t>
            </w:r>
          </w:p>
          <w:p>
            <w:pPr>
              <w:snapToGrid w:val="0"/>
              <w:spacing w:line="276" w:lineRule="auto"/>
              <w:rPr>
                <w:rFonts w:cs="宋体"/>
                <w:kern w:val="0"/>
              </w:rPr>
            </w:pPr>
            <w:r>
              <w:rPr>
                <w:rFonts w:cs="宋体"/>
                <w:kern w:val="0"/>
              </w:rPr>
              <w:t>8</w:t>
            </w:r>
            <w:r>
              <w:rPr>
                <w:rFonts w:hint="eastAsia" w:cs="宋体"/>
                <w:kern w:val="0"/>
              </w:rPr>
              <w:t>．小学教育专业继续完成师范专业认证申请工作。</w:t>
            </w:r>
          </w:p>
          <w:p>
            <w:pPr>
              <w:snapToGrid w:val="0"/>
              <w:spacing w:line="240" w:lineRule="atLeast"/>
              <w:jc w:val="left"/>
              <w:rPr>
                <w:rFonts w:hint="eastAsia"/>
              </w:rPr>
            </w:pPr>
            <w:r>
              <w:rPr>
                <w:rFonts w:hint="eastAsia"/>
              </w:rPr>
              <w:t>9</w:t>
            </w:r>
            <w:r>
              <w:t>.</w:t>
            </w:r>
            <w:r>
              <w:rPr>
                <w:rFonts w:hint="eastAsia"/>
              </w:rPr>
              <w:t>土木工程、物联网工程等专业完成工程教育认证相关工作。</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0" w:hRule="atLeast"/>
          <w:jc w:val="center"/>
        </w:trPr>
        <w:tc>
          <w:tcPr>
            <w:tcW w:w="1222" w:type="dxa"/>
            <w:vMerge w:val="continue"/>
            <w:noWrap w:val="0"/>
            <w:vAlign w:val="center"/>
          </w:tcPr>
          <w:p>
            <w:pPr>
              <w:spacing w:line="240" w:lineRule="atLeast"/>
              <w:jc w:val="center"/>
              <w:rPr>
                <w:rFonts w:hint="eastAsia"/>
                <w:b/>
                <w:bCs/>
              </w:rPr>
            </w:pPr>
          </w:p>
        </w:tc>
        <w:tc>
          <w:tcPr>
            <w:tcW w:w="3120" w:type="dxa"/>
            <w:noWrap w:val="0"/>
            <w:tcMar>
              <w:left w:w="20" w:type="dxa"/>
              <w:right w:w="20" w:type="dxa"/>
            </w:tcMar>
            <w:vAlign w:val="center"/>
          </w:tcPr>
          <w:p>
            <w:pPr>
              <w:spacing w:line="240" w:lineRule="atLeast"/>
              <w:jc w:val="center"/>
              <w:rPr>
                <w:rFonts w:hint="eastAsia"/>
              </w:rPr>
            </w:pPr>
            <w:r>
              <w:rPr>
                <w:rFonts w:hint="eastAsia"/>
              </w:rPr>
              <w:t>教师教学发展</w:t>
            </w:r>
          </w:p>
        </w:tc>
        <w:tc>
          <w:tcPr>
            <w:tcW w:w="4961" w:type="dxa"/>
            <w:noWrap w:val="0"/>
            <w:vAlign w:val="center"/>
          </w:tcPr>
          <w:p>
            <w:pPr>
              <w:snapToGrid w:val="0"/>
              <w:spacing w:line="240" w:lineRule="atLeast"/>
              <w:jc w:val="left"/>
              <w:rPr>
                <w:rFonts w:cs="宋体"/>
                <w:kern w:val="0"/>
              </w:rPr>
            </w:pPr>
          </w:p>
          <w:p>
            <w:pPr>
              <w:snapToGrid w:val="0"/>
              <w:spacing w:line="276" w:lineRule="auto"/>
              <w:rPr>
                <w:kern w:val="0"/>
              </w:rPr>
            </w:pPr>
            <w:r>
              <w:rPr>
                <w:rFonts w:hint="eastAsia"/>
                <w:kern w:val="0"/>
              </w:rPr>
              <w:t>1．制定年度教师教学发展计划</w:t>
            </w:r>
            <w:r>
              <w:rPr>
                <w:rFonts w:hint="eastAsia"/>
              </w:rPr>
              <w:t>并按计划实施。</w:t>
            </w:r>
          </w:p>
          <w:p>
            <w:pPr>
              <w:snapToGrid w:val="0"/>
              <w:spacing w:line="276" w:lineRule="auto"/>
              <w:rPr>
                <w:kern w:val="0"/>
              </w:rPr>
            </w:pPr>
            <w:r>
              <w:rPr>
                <w:rFonts w:hint="eastAsia"/>
                <w:kern w:val="0"/>
              </w:rPr>
              <w:t>2．按要求组织专任教师参加全国高校教师网络培训，专任教师年内完成25学时。</w:t>
            </w:r>
          </w:p>
          <w:p>
            <w:pPr>
              <w:snapToGrid w:val="0"/>
              <w:spacing w:line="276" w:lineRule="auto"/>
              <w:rPr>
                <w:rFonts w:hint="eastAsia"/>
                <w:kern w:val="0"/>
              </w:rPr>
            </w:pPr>
            <w:r>
              <w:rPr>
                <w:kern w:val="0"/>
              </w:rPr>
              <w:t>3.</w:t>
            </w:r>
            <w:r>
              <w:rPr>
                <w:rFonts w:hint="eastAsia"/>
                <w:kern w:val="0"/>
              </w:rPr>
              <w:t>组织新进教师、各类培养对象和学院教师参加校级系列教研活动（校级教学公开课、名师公开课、名师大讲堂等）的总人数</w:t>
            </w:r>
            <w:r>
              <w:rPr>
                <w:rFonts w:hint="eastAsia"/>
              </w:rPr>
              <w:t>达到专任教师总人数的20%</w:t>
            </w:r>
            <w:r>
              <w:rPr>
                <w:rFonts w:hint="eastAsia"/>
                <w:kern w:val="0"/>
              </w:rPr>
              <w:t>。</w:t>
            </w:r>
          </w:p>
          <w:p>
            <w:pPr>
              <w:snapToGrid w:val="0"/>
              <w:spacing w:line="276" w:lineRule="auto"/>
              <w:rPr>
                <w:rFonts w:hint="eastAsia"/>
              </w:rPr>
            </w:pPr>
            <w:r>
              <w:rPr>
                <w:kern w:val="0"/>
              </w:rPr>
              <w:t>4</w:t>
            </w:r>
            <w:r>
              <w:rPr>
                <w:rFonts w:hint="eastAsia"/>
                <w:kern w:val="0"/>
              </w:rPr>
              <w:t>．对校级优秀青年教学能手、卓越教师、教学名师等培养对象</w:t>
            </w:r>
            <w:r>
              <w:rPr>
                <w:rFonts w:hint="eastAsia"/>
              </w:rPr>
              <w:t>积极开展日常培养，并通过各种形式进行资助。组织相关人员参加卓越教师、优秀青年教学能手和教学名师培养对象开设的公开课，并组织开展教学研讨会。</w:t>
            </w:r>
          </w:p>
          <w:p>
            <w:pPr>
              <w:snapToGrid w:val="0"/>
              <w:spacing w:line="276" w:lineRule="auto"/>
              <w:rPr>
                <w:rFonts w:hint="eastAsia"/>
              </w:rPr>
            </w:pPr>
            <w:r>
              <w:rPr>
                <w:kern w:val="0"/>
              </w:rPr>
              <w:t>5</w:t>
            </w:r>
            <w:r>
              <w:rPr>
                <w:rFonts w:hint="eastAsia"/>
                <w:kern w:val="0"/>
              </w:rPr>
              <w:t>．按通知要求做好</w:t>
            </w:r>
            <w:r>
              <w:rPr>
                <w:rFonts w:hint="eastAsia"/>
              </w:rPr>
              <w:t>教师教学成长档案材料上报工作。</w:t>
            </w:r>
          </w:p>
          <w:p>
            <w:pPr>
              <w:snapToGrid w:val="0"/>
              <w:spacing w:line="276" w:lineRule="auto"/>
              <w:rPr>
                <w:rFonts w:hint="eastAsia"/>
                <w:kern w:val="0"/>
              </w:rPr>
            </w:pPr>
            <w:r>
              <w:rPr>
                <w:kern w:val="0"/>
              </w:rPr>
              <w:t>6</w:t>
            </w:r>
            <w:r>
              <w:rPr>
                <w:rFonts w:hint="eastAsia"/>
                <w:kern w:val="0"/>
              </w:rPr>
              <w:t>．积极组织参加校级及以上教师教学比赛，取得较好成绩。组织教师做好校外教师教学参赛和获奖的备案上报工作。</w:t>
            </w:r>
          </w:p>
          <w:p>
            <w:pPr>
              <w:snapToGrid w:val="0"/>
              <w:spacing w:line="276" w:lineRule="auto"/>
              <w:rPr>
                <w:rFonts w:cs="宋体"/>
                <w:kern w:val="0"/>
              </w:rPr>
            </w:pPr>
            <w:r>
              <w:rPr>
                <w:kern w:val="0"/>
              </w:rPr>
              <w:t>7</w:t>
            </w:r>
            <w:r>
              <w:rPr>
                <w:rFonts w:hint="eastAsia"/>
                <w:kern w:val="0"/>
              </w:rPr>
              <w:t>．积极参与校级及以上教学名师申报工作，省级教学名师</w:t>
            </w:r>
            <w:r>
              <w:rPr>
                <w:rFonts w:hint="eastAsia"/>
              </w:rPr>
              <w:t>入选另有奖励分。</w:t>
            </w:r>
          </w:p>
          <w:p>
            <w:pPr>
              <w:snapToGrid w:val="0"/>
              <w:spacing w:line="240" w:lineRule="atLeast"/>
              <w:jc w:val="left"/>
              <w:rPr>
                <w:rFonts w:hint="eastAsia"/>
                <w:kern w:val="0"/>
              </w:rPr>
            </w:pP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22" w:type="dxa"/>
            <w:vMerge w:val="restart"/>
            <w:noWrap w:val="0"/>
            <w:vAlign w:val="center"/>
          </w:tcPr>
          <w:p>
            <w:pPr>
              <w:spacing w:line="240" w:lineRule="atLeast"/>
              <w:jc w:val="center"/>
              <w:rPr>
                <w:rFonts w:hint="eastAsia"/>
                <w:b/>
              </w:rPr>
            </w:pPr>
            <w:r>
              <w:rPr>
                <w:rFonts w:hint="eastAsia"/>
                <w:b/>
              </w:rPr>
              <w:t>十三、安全稳定工作</w:t>
            </w:r>
          </w:p>
        </w:tc>
        <w:tc>
          <w:tcPr>
            <w:tcW w:w="3120" w:type="dxa"/>
            <w:vMerge w:val="restart"/>
            <w:noWrap w:val="0"/>
            <w:tcMar>
              <w:left w:w="20" w:type="dxa"/>
              <w:right w:w="20" w:type="dxa"/>
            </w:tcMar>
            <w:vAlign w:val="center"/>
          </w:tcPr>
          <w:p>
            <w:pPr>
              <w:spacing w:line="300" w:lineRule="exact"/>
              <w:jc w:val="center"/>
            </w:pPr>
            <w:r>
              <w:t>维护</w:t>
            </w:r>
            <w:r>
              <w:rPr>
                <w:rFonts w:hint="eastAsia"/>
              </w:rPr>
              <w:t>安全</w:t>
            </w:r>
            <w:r>
              <w:t>稳定工作</w:t>
            </w:r>
          </w:p>
        </w:tc>
        <w:tc>
          <w:tcPr>
            <w:tcW w:w="4961" w:type="dxa"/>
            <w:noWrap w:val="0"/>
            <w:vAlign w:val="center"/>
          </w:tcPr>
          <w:p>
            <w:pPr>
              <w:spacing w:line="320" w:lineRule="exact"/>
            </w:pPr>
            <w:r>
              <w:rPr>
                <w:rFonts w:hint="eastAsia"/>
                <w:kern w:val="0"/>
              </w:rPr>
              <w:t>开展“江苏省高质量平安校园建设高校”创建工作,对照创建标准，</w:t>
            </w:r>
            <w:r>
              <w:rPr>
                <w:rFonts w:hint="eastAsia" w:cs="宋体"/>
                <w:color w:val="000000"/>
                <w:kern w:val="0"/>
              </w:rPr>
              <w:t>落实各项创建指标，做好创建台账工作。</w:t>
            </w:r>
          </w:p>
        </w:tc>
        <w:tc>
          <w:tcPr>
            <w:tcW w:w="1165" w:type="dxa"/>
            <w:noWrap w:val="0"/>
            <w:tcMar>
              <w:left w:w="20" w:type="dxa"/>
              <w:right w:w="20" w:type="dxa"/>
            </w:tcMar>
            <w:vAlign w:val="center"/>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22" w:type="dxa"/>
            <w:vMerge w:val="continue"/>
            <w:noWrap w:val="0"/>
            <w:vAlign w:val="center"/>
          </w:tcPr>
          <w:p>
            <w:pPr>
              <w:spacing w:line="240" w:lineRule="atLeast"/>
              <w:jc w:val="center"/>
              <w:rPr>
                <w:rFonts w:hint="eastAsia"/>
                <w:b/>
              </w:rPr>
            </w:pPr>
          </w:p>
        </w:tc>
        <w:tc>
          <w:tcPr>
            <w:tcW w:w="3120" w:type="dxa"/>
            <w:vMerge w:val="continue"/>
            <w:noWrap w:val="0"/>
            <w:tcMar>
              <w:left w:w="20" w:type="dxa"/>
              <w:right w:w="20" w:type="dxa"/>
            </w:tcMar>
            <w:vAlign w:val="center"/>
          </w:tcPr>
          <w:p>
            <w:pPr>
              <w:spacing w:line="300" w:lineRule="exact"/>
              <w:jc w:val="center"/>
            </w:pPr>
          </w:p>
        </w:tc>
        <w:tc>
          <w:tcPr>
            <w:tcW w:w="4961" w:type="dxa"/>
            <w:noWrap w:val="0"/>
            <w:vAlign w:val="center"/>
          </w:tcPr>
          <w:p>
            <w:pPr>
              <w:spacing w:line="320" w:lineRule="exact"/>
              <w:rPr>
                <w:rFonts w:hint="eastAsia"/>
              </w:rPr>
            </w:pPr>
            <w:r>
              <w:rPr>
                <w:rFonts w:hint="eastAsia"/>
                <w:kern w:val="0"/>
              </w:rPr>
              <w:t>建立本单位安全稳定工作领导小组，层层签订安全责任书，进一步完善、落实校园安全稳定工作责任体系</w:t>
            </w:r>
            <w:r>
              <w:rPr>
                <w:rFonts w:hint="eastAsia"/>
                <w:color w:val="000000"/>
              </w:rPr>
              <w:t>和网格化安全管理体系，及时落实学校各项安全工作任务和要求。</w:t>
            </w:r>
          </w:p>
        </w:tc>
        <w:tc>
          <w:tcPr>
            <w:tcW w:w="1165" w:type="dxa"/>
            <w:noWrap w:val="0"/>
            <w:tcMar>
              <w:left w:w="20" w:type="dxa"/>
              <w:right w:w="20" w:type="dxa"/>
            </w:tcMar>
            <w:vAlign w:val="center"/>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22" w:type="dxa"/>
            <w:vMerge w:val="continue"/>
            <w:noWrap w:val="0"/>
            <w:vAlign w:val="center"/>
          </w:tcPr>
          <w:p>
            <w:pPr>
              <w:spacing w:line="240" w:lineRule="atLeast"/>
              <w:jc w:val="center"/>
              <w:rPr>
                <w:rFonts w:hint="eastAsia"/>
                <w:b/>
              </w:rPr>
            </w:pPr>
          </w:p>
        </w:tc>
        <w:tc>
          <w:tcPr>
            <w:tcW w:w="3120" w:type="dxa"/>
            <w:vMerge w:val="continue"/>
            <w:noWrap w:val="0"/>
            <w:tcMar>
              <w:left w:w="20" w:type="dxa"/>
              <w:right w:w="20" w:type="dxa"/>
            </w:tcMar>
            <w:vAlign w:val="center"/>
          </w:tcPr>
          <w:p>
            <w:pPr>
              <w:spacing w:line="300" w:lineRule="exact"/>
              <w:jc w:val="center"/>
            </w:pPr>
          </w:p>
        </w:tc>
        <w:tc>
          <w:tcPr>
            <w:tcW w:w="4961" w:type="dxa"/>
            <w:noWrap w:val="0"/>
            <w:vAlign w:val="center"/>
          </w:tcPr>
          <w:p>
            <w:pPr>
              <w:spacing w:line="320" w:lineRule="exact"/>
              <w:rPr>
                <w:color w:val="000000"/>
              </w:rPr>
            </w:pPr>
            <w:r>
              <w:rPr>
                <w:rFonts w:hint="eastAsia"/>
                <w:color w:val="000000"/>
              </w:rPr>
              <w:t>完善情报信息网络，及时报送相关信息。定期开展排查，及时化解影响本单位稳定的矛盾纠纷、不稳定因素，</w:t>
            </w:r>
            <w:r>
              <w:rPr>
                <w:rFonts w:hint="eastAsia"/>
                <w:kern w:val="0"/>
              </w:rPr>
              <w:t>有效防范化解重大安全风险，守住安全稳定底线</w:t>
            </w:r>
            <w:r>
              <w:rPr>
                <w:rFonts w:hint="eastAsia"/>
                <w:color w:val="000000"/>
              </w:rPr>
              <w:t>。</w:t>
            </w:r>
          </w:p>
        </w:tc>
        <w:tc>
          <w:tcPr>
            <w:tcW w:w="1165" w:type="dxa"/>
            <w:noWrap w:val="0"/>
            <w:tcMar>
              <w:left w:w="20" w:type="dxa"/>
              <w:right w:w="20" w:type="dxa"/>
            </w:tcMar>
            <w:vAlign w:val="center"/>
          </w:tcPr>
          <w:p>
            <w:pPr>
              <w:spacing w:line="3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22" w:type="dxa"/>
            <w:vMerge w:val="continue"/>
            <w:noWrap w:val="0"/>
            <w:vAlign w:val="center"/>
          </w:tcPr>
          <w:p>
            <w:pPr>
              <w:spacing w:line="240" w:lineRule="atLeast"/>
              <w:jc w:val="center"/>
              <w:rPr>
                <w:rFonts w:hint="eastAsia"/>
                <w:b/>
                <w:bCs/>
              </w:rPr>
            </w:pPr>
          </w:p>
        </w:tc>
        <w:tc>
          <w:tcPr>
            <w:tcW w:w="3120" w:type="dxa"/>
            <w:vMerge w:val="restart"/>
            <w:noWrap w:val="0"/>
            <w:tcMar>
              <w:left w:w="20" w:type="dxa"/>
              <w:right w:w="20" w:type="dxa"/>
            </w:tcMar>
            <w:vAlign w:val="center"/>
          </w:tcPr>
          <w:p>
            <w:pPr>
              <w:spacing w:line="300" w:lineRule="exact"/>
              <w:jc w:val="center"/>
              <w:rPr>
                <w:rFonts w:hint="eastAsia" w:cs="宋体"/>
                <w:color w:val="000000"/>
              </w:rPr>
            </w:pPr>
            <w:r>
              <w:rPr>
                <w:rFonts w:hint="eastAsia" w:cs="宋体"/>
                <w:color w:val="000000"/>
              </w:rPr>
              <w:t>安全防范和校园安全管理工作</w:t>
            </w:r>
          </w:p>
        </w:tc>
        <w:tc>
          <w:tcPr>
            <w:tcW w:w="4961" w:type="dxa"/>
            <w:noWrap w:val="0"/>
            <w:vAlign w:val="center"/>
          </w:tcPr>
          <w:p>
            <w:pPr>
              <w:widowControl/>
              <w:spacing w:line="320" w:lineRule="exact"/>
              <w:jc w:val="left"/>
            </w:pPr>
            <w:r>
              <w:rPr>
                <w:rFonts w:hint="eastAsia"/>
                <w:kern w:val="0"/>
              </w:rPr>
              <w:t>持续开展常规安全检查和上级专项安全检查，落实安全隐患排查整改闭环管理，确保不发生各类安全责任事故。</w:t>
            </w:r>
            <w:r>
              <w:rPr>
                <w:color w:val="000000"/>
              </w:rPr>
              <w:t>强化消防安全责任意识，扎实做好消防安全工作，</w:t>
            </w:r>
            <w:r>
              <w:rPr>
                <w:rFonts w:hint="eastAsia"/>
                <w:color w:val="000000"/>
              </w:rPr>
              <w:t>特种设备等严格按国家标准落实安全管理措施；</w:t>
            </w:r>
            <w:r>
              <w:rPr>
                <w:color w:val="000000"/>
              </w:rPr>
              <w:t>定期开展防火安全检查，认真整改防火隐患，杜绝火灾责任事故发生</w:t>
            </w:r>
            <w:r>
              <w:rPr>
                <w:rFonts w:hint="eastAsia"/>
                <w:color w:val="000000"/>
              </w:rPr>
              <w:t>。</w:t>
            </w:r>
          </w:p>
        </w:tc>
        <w:tc>
          <w:tcPr>
            <w:tcW w:w="1165" w:type="dxa"/>
            <w:noWrap w:val="0"/>
            <w:tcMar>
              <w:left w:w="20" w:type="dxa"/>
              <w:right w:w="20" w:type="dxa"/>
            </w:tcMar>
            <w:vAlign w:val="center"/>
          </w:tcPr>
          <w:p>
            <w:pPr>
              <w:spacing w:line="32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22" w:type="dxa"/>
            <w:vMerge w:val="continue"/>
            <w:noWrap w:val="0"/>
            <w:vAlign w:val="center"/>
          </w:tcPr>
          <w:p>
            <w:pPr>
              <w:spacing w:line="240" w:lineRule="atLeast"/>
              <w:jc w:val="center"/>
              <w:rPr>
                <w:rFonts w:hint="eastAsia"/>
                <w:b/>
                <w:bCs/>
              </w:rPr>
            </w:pPr>
          </w:p>
        </w:tc>
        <w:tc>
          <w:tcPr>
            <w:tcW w:w="3120" w:type="dxa"/>
            <w:vMerge w:val="continue"/>
            <w:noWrap w:val="0"/>
            <w:tcMar>
              <w:left w:w="20" w:type="dxa"/>
              <w:right w:w="20" w:type="dxa"/>
            </w:tcMar>
            <w:vAlign w:val="center"/>
          </w:tcPr>
          <w:p>
            <w:pPr>
              <w:spacing w:line="300" w:lineRule="exact"/>
              <w:jc w:val="center"/>
            </w:pPr>
          </w:p>
        </w:tc>
        <w:tc>
          <w:tcPr>
            <w:tcW w:w="4961" w:type="dxa"/>
            <w:noWrap w:val="0"/>
            <w:vAlign w:val="center"/>
          </w:tcPr>
          <w:p>
            <w:pPr>
              <w:widowControl/>
              <w:spacing w:line="320" w:lineRule="exact"/>
              <w:jc w:val="left"/>
            </w:pPr>
            <w:r>
              <w:rPr>
                <w:rFonts w:hint="eastAsia"/>
                <w:color w:val="000000"/>
              </w:rPr>
              <w:t>积极开展群防群治工作和各类</w:t>
            </w:r>
            <w:r>
              <w:rPr>
                <w:color w:val="000000"/>
              </w:rPr>
              <w:t>安全教育</w:t>
            </w:r>
            <w:r>
              <w:rPr>
                <w:rFonts w:hint="eastAsia"/>
                <w:color w:val="000000"/>
              </w:rPr>
              <w:t>工作，落实校园各项安全规定和措施，</w:t>
            </w:r>
            <w:r>
              <w:rPr>
                <w:color w:val="000000"/>
              </w:rPr>
              <w:t>各单位</w:t>
            </w:r>
            <w:r>
              <w:rPr>
                <w:rFonts w:hint="eastAsia"/>
                <w:color w:val="000000"/>
              </w:rPr>
              <w:t>根据自身</w:t>
            </w:r>
            <w:r>
              <w:rPr>
                <w:color w:val="000000"/>
              </w:rPr>
              <w:t>特点做好安全生产及重点部位的安全防范管理工作</w:t>
            </w:r>
            <w:r>
              <w:rPr>
                <w:rFonts w:hint="eastAsia"/>
                <w:color w:val="000000"/>
              </w:rPr>
              <w:t>。</w:t>
            </w:r>
            <w:r>
              <w:rPr>
                <w:color w:val="000000"/>
              </w:rPr>
              <w:t>执行校园车辆与道路交通管理规</w:t>
            </w:r>
            <w:r>
              <w:rPr>
                <w:rFonts w:hint="eastAsia"/>
                <w:color w:val="000000"/>
              </w:rPr>
              <w:t>定，保障校园安全有序。</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22" w:type="dxa"/>
            <w:vMerge w:val="continue"/>
            <w:noWrap w:val="0"/>
            <w:vAlign w:val="center"/>
          </w:tcPr>
          <w:p>
            <w:pPr>
              <w:spacing w:line="240" w:lineRule="atLeast"/>
              <w:jc w:val="center"/>
              <w:rPr>
                <w:rFonts w:hint="eastAsia"/>
                <w:b/>
                <w:bCs/>
              </w:rPr>
            </w:pPr>
          </w:p>
        </w:tc>
        <w:tc>
          <w:tcPr>
            <w:tcW w:w="3120" w:type="dxa"/>
            <w:vMerge w:val="continue"/>
            <w:noWrap w:val="0"/>
            <w:tcMar>
              <w:left w:w="20" w:type="dxa"/>
              <w:right w:w="20" w:type="dxa"/>
            </w:tcMar>
            <w:vAlign w:val="center"/>
          </w:tcPr>
          <w:p>
            <w:pPr>
              <w:spacing w:line="300" w:lineRule="exact"/>
              <w:jc w:val="center"/>
            </w:pPr>
          </w:p>
        </w:tc>
        <w:tc>
          <w:tcPr>
            <w:tcW w:w="4961" w:type="dxa"/>
            <w:noWrap w:val="0"/>
            <w:vAlign w:val="center"/>
          </w:tcPr>
          <w:p>
            <w:pPr>
              <w:widowControl/>
              <w:spacing w:line="320" w:lineRule="exact"/>
              <w:jc w:val="left"/>
              <w:rPr>
                <w:color w:val="000000"/>
              </w:rPr>
            </w:pPr>
            <w:r>
              <w:rPr>
                <w:color w:val="000000"/>
              </w:rPr>
              <w:t>全年无重大政治、刑事案件，无火灾责任事故、校内无重大交通责任事故和其他灾害、伤害责任事故；</w:t>
            </w:r>
            <w:r>
              <w:rPr>
                <w:color w:val="000000"/>
                <w:kern w:val="0"/>
              </w:rPr>
              <w:t>各单位</w:t>
            </w:r>
            <w:r>
              <w:rPr>
                <w:rFonts w:hint="eastAsia"/>
                <w:color w:val="000000"/>
                <w:kern w:val="0"/>
              </w:rPr>
              <w:t>的</w:t>
            </w:r>
            <w:r>
              <w:rPr>
                <w:rFonts w:hint="eastAsia"/>
                <w:color w:val="000000"/>
              </w:rPr>
              <w:t>刑事</w:t>
            </w:r>
            <w:r>
              <w:rPr>
                <w:color w:val="000000"/>
                <w:kern w:val="0"/>
              </w:rPr>
              <w:t>案件数控制在</w:t>
            </w:r>
            <w:r>
              <w:rPr>
                <w:rFonts w:hint="eastAsia"/>
                <w:color w:val="000000"/>
                <w:kern w:val="0"/>
              </w:rPr>
              <w:t>市</w:t>
            </w:r>
            <w:r>
              <w:rPr>
                <w:color w:val="000000"/>
                <w:kern w:val="0"/>
              </w:rPr>
              <w:t>公安</w:t>
            </w:r>
            <w:r>
              <w:rPr>
                <w:rFonts w:hint="eastAsia"/>
                <w:color w:val="000000"/>
                <w:kern w:val="0"/>
              </w:rPr>
              <w:t>局</w:t>
            </w:r>
            <w:r>
              <w:rPr>
                <w:color w:val="000000"/>
                <w:kern w:val="0"/>
              </w:rPr>
              <w:t>核定基数以内，可防性案件数逐年下降或整体发案率低于近三年发案率平均值5%</w:t>
            </w:r>
            <w:r>
              <w:rPr>
                <w:color w:val="000000"/>
              </w:rPr>
              <w:t>。</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222" w:type="dxa"/>
            <w:vMerge w:val="continue"/>
            <w:noWrap w:val="0"/>
            <w:vAlign w:val="center"/>
          </w:tcPr>
          <w:p>
            <w:pPr>
              <w:spacing w:line="240" w:lineRule="atLeast"/>
              <w:jc w:val="center"/>
              <w:rPr>
                <w:rFonts w:hint="eastAsia"/>
                <w:b/>
                <w:bCs/>
              </w:rPr>
            </w:pPr>
          </w:p>
        </w:tc>
        <w:tc>
          <w:tcPr>
            <w:tcW w:w="3120" w:type="dxa"/>
            <w:noWrap w:val="0"/>
            <w:tcMar>
              <w:left w:w="20" w:type="dxa"/>
              <w:right w:w="20" w:type="dxa"/>
            </w:tcMar>
            <w:vAlign w:val="center"/>
          </w:tcPr>
          <w:p>
            <w:pPr>
              <w:spacing w:line="300" w:lineRule="exact"/>
              <w:jc w:val="center"/>
              <w:rPr>
                <w:rFonts w:hint="eastAsia"/>
                <w:color w:val="000000"/>
              </w:rPr>
            </w:pPr>
            <w:r>
              <w:rPr>
                <w:rFonts w:hint="eastAsia"/>
              </w:rPr>
              <w:t>实验室安全</w:t>
            </w:r>
            <w:r>
              <w:t>工作</w:t>
            </w:r>
          </w:p>
        </w:tc>
        <w:tc>
          <w:tcPr>
            <w:tcW w:w="4961" w:type="dxa"/>
            <w:noWrap w:val="0"/>
            <w:vAlign w:val="center"/>
          </w:tcPr>
          <w:p>
            <w:pPr>
              <w:snapToGrid w:val="0"/>
              <w:spacing w:line="260" w:lineRule="exact"/>
              <w:jc w:val="left"/>
              <w:rPr>
                <w:rFonts w:hint="eastAsia"/>
              </w:rPr>
            </w:pPr>
            <w:r>
              <w:rPr>
                <w:rFonts w:cs="宋体"/>
              </w:rPr>
              <w:t>对本单位实验室安全工作负总责，成立本单位的实验室安全工作领导小组，落实实验室安全管理人员；实施实验室安全教育与准入制度，贯彻实验室安全法律法规，制定实验室安全工作计划，组织实验室安全检查与隐患整改实行闭环管理；分别与学校和所属各实验室负责人签订安全责任书；建立应急预案，定期进行培训和实施演练；</w:t>
            </w:r>
            <w:r>
              <w:rPr>
                <w:rFonts w:hint="eastAsia" w:cs="宋体"/>
              </w:rPr>
              <w:t>协助做好</w:t>
            </w:r>
            <w:r>
              <w:rPr>
                <w:rFonts w:cs="宋体"/>
              </w:rPr>
              <w:t>实验室安全事故调查、责任认定。</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1222" w:type="dxa"/>
            <w:noWrap w:val="0"/>
            <w:vAlign w:val="center"/>
          </w:tcPr>
          <w:p>
            <w:pPr>
              <w:spacing w:line="240" w:lineRule="atLeast"/>
              <w:jc w:val="center"/>
              <w:rPr>
                <w:rFonts w:hint="eastAsia"/>
                <w:b/>
              </w:rPr>
            </w:pPr>
            <w:r>
              <w:rPr>
                <w:rFonts w:hint="eastAsia"/>
                <w:b/>
              </w:rPr>
              <w:t>十四、校友工作</w:t>
            </w:r>
            <w:r>
              <w:rPr>
                <w:rFonts w:hint="eastAsia"/>
                <w:color w:val="FF0000"/>
                <w:kern w:val="0"/>
              </w:rPr>
              <w:t>（</w:t>
            </w:r>
            <w:r>
              <w:rPr>
                <w:rFonts w:hint="eastAsia" w:cs="宋体"/>
                <w:color w:val="FF0000"/>
              </w:rPr>
              <w:t>马院、体育教学部无此项</w:t>
            </w:r>
            <w:r>
              <w:rPr>
                <w:rFonts w:hint="eastAsia"/>
                <w:color w:val="FF0000"/>
                <w:kern w:val="0"/>
              </w:rPr>
              <w:t>）</w:t>
            </w:r>
          </w:p>
        </w:tc>
        <w:tc>
          <w:tcPr>
            <w:tcW w:w="8081" w:type="dxa"/>
            <w:gridSpan w:val="2"/>
            <w:noWrap w:val="0"/>
            <w:tcMar>
              <w:left w:w="20" w:type="dxa"/>
              <w:right w:w="20" w:type="dxa"/>
            </w:tcMar>
            <w:vAlign w:val="center"/>
          </w:tcPr>
          <w:p>
            <w:pPr>
              <w:pStyle w:val="7"/>
              <w:spacing w:beforeAutospacing="0" w:afterAutospacing="0" w:line="260" w:lineRule="exact"/>
              <w:ind w:left="122" w:leftChars="58"/>
              <w:rPr>
                <w:rFonts w:hint="eastAsia" w:ascii="Times New Roman" w:hAnsi="Times New Roman"/>
                <w:kern w:val="2"/>
                <w:sz w:val="21"/>
                <w:szCs w:val="21"/>
              </w:rPr>
            </w:pPr>
            <w:r>
              <w:rPr>
                <w:rFonts w:hint="eastAsia" w:ascii="Times New Roman" w:hAnsi="Times New Roman"/>
                <w:kern w:val="2"/>
                <w:sz w:val="21"/>
                <w:szCs w:val="21"/>
              </w:rPr>
              <w:t>1.完善校友组织网络体系，推进校友分会建设，计算机、土建、人文、艺设完成二级学院（行业）分会年内成立，各二级学院每年至少与学院（行业）分会、对接地方校友分会交流2次。</w:t>
            </w:r>
          </w:p>
          <w:p>
            <w:pPr>
              <w:pStyle w:val="7"/>
              <w:spacing w:beforeAutospacing="0" w:afterAutospacing="0" w:line="260" w:lineRule="exact"/>
              <w:ind w:left="122" w:leftChars="58"/>
              <w:rPr>
                <w:rFonts w:hint="eastAsia" w:ascii="Times New Roman" w:hAnsi="Times New Roman"/>
                <w:kern w:val="2"/>
                <w:sz w:val="21"/>
                <w:szCs w:val="21"/>
              </w:rPr>
            </w:pPr>
            <w:r>
              <w:rPr>
                <w:rFonts w:hint="eastAsia" w:ascii="Times New Roman" w:hAnsi="Times New Roman"/>
                <w:kern w:val="2"/>
                <w:sz w:val="21"/>
                <w:szCs w:val="21"/>
              </w:rPr>
              <w:t>2.完成“友聚”2024年度校友返校日活动，按时报送本学院年度校友返校日活动计划，精心组织，提升活动质量。</w:t>
            </w:r>
          </w:p>
          <w:p>
            <w:pPr>
              <w:pStyle w:val="7"/>
              <w:spacing w:beforeAutospacing="0" w:afterAutospacing="0" w:line="260" w:lineRule="exact"/>
              <w:ind w:left="122" w:leftChars="58"/>
              <w:rPr>
                <w:rFonts w:hint="eastAsia" w:ascii="Times New Roman" w:hAnsi="Times New Roman"/>
                <w:kern w:val="2"/>
                <w:sz w:val="21"/>
                <w:szCs w:val="21"/>
              </w:rPr>
            </w:pPr>
            <w:r>
              <w:rPr>
                <w:rFonts w:hint="eastAsia" w:ascii="Times New Roman" w:hAnsi="Times New Roman"/>
                <w:kern w:val="2"/>
                <w:sz w:val="21"/>
                <w:szCs w:val="21"/>
              </w:rPr>
              <w:t>3.多层次、多维度开展校友工作，打造本学院特色品牌校友活动，组织开展本学院秩年班校友返校活动。除返校日活动外，各二级学院层面的校友返校交流活动至少每年2次，可采用讲座、论坛、访谈、报告等形式。</w:t>
            </w:r>
          </w:p>
          <w:p>
            <w:pPr>
              <w:pStyle w:val="7"/>
              <w:spacing w:beforeAutospacing="0" w:afterAutospacing="0" w:line="260" w:lineRule="exact"/>
              <w:ind w:left="122" w:leftChars="58"/>
              <w:rPr>
                <w:rFonts w:hint="eastAsia" w:ascii="Times New Roman" w:hAnsi="Times New Roman"/>
                <w:kern w:val="2"/>
                <w:sz w:val="21"/>
                <w:szCs w:val="21"/>
              </w:rPr>
            </w:pPr>
            <w:r>
              <w:rPr>
                <w:rFonts w:hint="eastAsia" w:ascii="Times New Roman" w:hAnsi="Times New Roman"/>
                <w:kern w:val="2"/>
                <w:sz w:val="21"/>
                <w:szCs w:val="21"/>
              </w:rPr>
              <w:t>4.加强校友宣传工作力度，按时报送校友工作信息，各二级学院每月至少报送1则校友工作动态及2位优秀校友宣传优秀校友事迹。</w:t>
            </w:r>
          </w:p>
          <w:p>
            <w:pPr>
              <w:pStyle w:val="7"/>
              <w:spacing w:beforeAutospacing="0" w:afterAutospacing="0" w:line="260" w:lineRule="exact"/>
              <w:ind w:left="122" w:leftChars="58"/>
              <w:rPr>
                <w:rFonts w:hint="eastAsia" w:ascii="Times New Roman" w:hAnsi="Times New Roman"/>
                <w:kern w:val="2"/>
                <w:sz w:val="21"/>
                <w:szCs w:val="21"/>
              </w:rPr>
            </w:pPr>
            <w:r>
              <w:rPr>
                <w:rFonts w:hint="eastAsia" w:ascii="Times New Roman" w:hAnsi="Times New Roman"/>
                <w:kern w:val="2"/>
                <w:sz w:val="21"/>
                <w:szCs w:val="21"/>
              </w:rPr>
              <w:t>5.积极走访校友企业，进一步收集整理校友企业信息并探索具本学院特色的多渠道合作模式。全年走访校友企业不少于2家。</w:t>
            </w:r>
          </w:p>
          <w:p>
            <w:pPr>
              <w:pStyle w:val="7"/>
              <w:spacing w:beforeAutospacing="0" w:afterAutospacing="0" w:line="260" w:lineRule="exact"/>
              <w:ind w:left="122" w:leftChars="58"/>
              <w:rPr>
                <w:rFonts w:hint="eastAsia" w:ascii="Times New Roman" w:hAnsi="Times New Roman"/>
                <w:kern w:val="2"/>
                <w:sz w:val="21"/>
                <w:szCs w:val="21"/>
              </w:rPr>
            </w:pPr>
            <w:r>
              <w:rPr>
                <w:rFonts w:hint="eastAsia" w:ascii="Times New Roman" w:hAnsi="Times New Roman"/>
                <w:kern w:val="2"/>
                <w:sz w:val="21"/>
                <w:szCs w:val="21"/>
              </w:rPr>
              <w:t>6.积极推进校友平台建设，智慧校友平台注册认证率力争每年增长10%。</w:t>
            </w:r>
          </w:p>
          <w:p>
            <w:pPr>
              <w:pStyle w:val="7"/>
              <w:spacing w:beforeAutospacing="0" w:afterAutospacing="0" w:line="260" w:lineRule="exact"/>
              <w:ind w:left="122" w:leftChars="58"/>
              <w:rPr>
                <w:rFonts w:hint="eastAsia" w:ascii="Times New Roman" w:hAnsi="Times New Roman"/>
                <w:kern w:val="2"/>
                <w:sz w:val="21"/>
                <w:szCs w:val="21"/>
              </w:rPr>
            </w:pPr>
            <w:r>
              <w:rPr>
                <w:rFonts w:hint="eastAsia" w:ascii="Times New Roman" w:hAnsi="Times New Roman"/>
                <w:kern w:val="2"/>
                <w:sz w:val="21"/>
                <w:szCs w:val="21"/>
              </w:rPr>
              <w:t>7.加强校友工作队伍建设。扩大校友工作志愿者队伍。各二级学院在做好选聘校友联络志愿者工作基础上，选拨优秀人员担任“校友使者”。</w:t>
            </w:r>
          </w:p>
          <w:p>
            <w:pPr>
              <w:pStyle w:val="7"/>
              <w:spacing w:beforeAutospacing="0" w:afterAutospacing="0" w:line="260" w:lineRule="exact"/>
              <w:ind w:left="122"/>
              <w:rPr>
                <w:rFonts w:hint="eastAsia" w:ascii="Times New Roman" w:hAnsi="Times New Roman"/>
                <w:sz w:val="21"/>
                <w:szCs w:val="21"/>
              </w:rPr>
            </w:pPr>
            <w:r>
              <w:rPr>
                <w:rFonts w:hint="eastAsia" w:ascii="Times New Roman" w:hAnsi="Times New Roman"/>
                <w:kern w:val="2"/>
                <w:sz w:val="21"/>
                <w:szCs w:val="21"/>
              </w:rPr>
              <w:t>8.积极策划募集项目，扩大募集规模， 完成二级学院年度校友基金募集指标。</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22" w:type="dxa"/>
            <w:vMerge w:val="restart"/>
            <w:noWrap w:val="0"/>
            <w:vAlign w:val="center"/>
          </w:tcPr>
          <w:p>
            <w:pPr>
              <w:spacing w:line="240" w:lineRule="atLeast"/>
              <w:jc w:val="center"/>
              <w:rPr>
                <w:rFonts w:hint="eastAsia"/>
                <w:b/>
              </w:rPr>
            </w:pPr>
            <w:r>
              <w:rPr>
                <w:rFonts w:hint="eastAsia"/>
                <w:b/>
              </w:rPr>
              <w:t>十五、</w:t>
            </w:r>
          </w:p>
          <w:p>
            <w:pPr>
              <w:spacing w:line="240" w:lineRule="atLeast"/>
              <w:jc w:val="center"/>
              <w:rPr>
                <w:rFonts w:hint="eastAsia"/>
                <w:b/>
                <w:bCs/>
              </w:rPr>
            </w:pPr>
            <w:r>
              <w:rPr>
                <w:rFonts w:hint="eastAsia"/>
                <w:b/>
              </w:rPr>
              <w:t>行政、财务管理</w:t>
            </w:r>
          </w:p>
        </w:tc>
        <w:tc>
          <w:tcPr>
            <w:tcW w:w="3120" w:type="dxa"/>
            <w:noWrap w:val="0"/>
            <w:tcMar>
              <w:left w:w="20" w:type="dxa"/>
              <w:right w:w="20" w:type="dxa"/>
            </w:tcMar>
            <w:vAlign w:val="center"/>
          </w:tcPr>
          <w:p>
            <w:pPr>
              <w:jc w:val="center"/>
              <w:rPr>
                <w:rFonts w:hint="eastAsia"/>
              </w:rPr>
            </w:pPr>
            <w:r>
              <w:rPr>
                <w:rFonts w:hint="eastAsia"/>
              </w:rPr>
              <w:t>行政管理</w:t>
            </w:r>
          </w:p>
        </w:tc>
        <w:tc>
          <w:tcPr>
            <w:tcW w:w="4961" w:type="dxa"/>
            <w:noWrap w:val="0"/>
            <w:vAlign w:val="top"/>
          </w:tcPr>
          <w:p>
            <w:pPr>
              <w:rPr>
                <w:rFonts w:hint="eastAsia"/>
              </w:rPr>
            </w:pPr>
            <w:r>
              <w:rPr>
                <w:rFonts w:hint="eastAsia"/>
              </w:rPr>
              <w:t>认真落实学校各项管理制度和规定，做好有关行政工作，包括保密、信息、行政值班、会务、公文传输与办理、校院印信申请使用与管理等，达到学校要求,做好信息报送工作。</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222" w:type="dxa"/>
            <w:vMerge w:val="continue"/>
            <w:noWrap w:val="0"/>
            <w:vAlign w:val="center"/>
          </w:tcPr>
          <w:p>
            <w:pPr>
              <w:spacing w:line="240" w:lineRule="atLeast"/>
              <w:jc w:val="center"/>
              <w:rPr>
                <w:rFonts w:hint="eastAsia"/>
                <w:b/>
                <w:bCs/>
              </w:rPr>
            </w:pPr>
          </w:p>
        </w:tc>
        <w:tc>
          <w:tcPr>
            <w:tcW w:w="3120" w:type="dxa"/>
            <w:noWrap w:val="0"/>
            <w:tcMar>
              <w:left w:w="20" w:type="dxa"/>
              <w:right w:w="20" w:type="dxa"/>
            </w:tcMar>
            <w:vAlign w:val="center"/>
          </w:tcPr>
          <w:p>
            <w:pPr>
              <w:jc w:val="center"/>
              <w:rPr>
                <w:rFonts w:hint="eastAsia"/>
              </w:rPr>
            </w:pPr>
            <w:r>
              <w:rPr>
                <w:rFonts w:hint="eastAsia"/>
              </w:rPr>
              <w:t>财务管理</w:t>
            </w:r>
          </w:p>
        </w:tc>
        <w:tc>
          <w:tcPr>
            <w:tcW w:w="4961" w:type="dxa"/>
            <w:noWrap w:val="0"/>
            <w:vAlign w:val="top"/>
          </w:tcPr>
          <w:p>
            <w:r>
              <w:rPr>
                <w:rFonts w:hint="eastAsia"/>
              </w:rPr>
              <w:t>各类项目经费能合理编制预算，预算调整符合程序；获得中央、省、市专项资金项目1项以上；学生欠费率低于1%；遵守财经纪律，经费开支符合财务制度、审计规范，事后审计事项不超过2项；设备采购事项符合政府采购规定；日常运行经费按计划、按预算使用，11月底预算执行进度不低于60%，不存在年底突击花钱现象；专项资金按项目预算计划书和专项资金管理办法的规定使用，执行进度符合要求；设置财务助理员（联系人）。</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22" w:type="dxa"/>
            <w:vMerge w:val="restart"/>
            <w:noWrap w:val="0"/>
            <w:vAlign w:val="center"/>
          </w:tcPr>
          <w:p>
            <w:pPr>
              <w:spacing w:line="240" w:lineRule="atLeast"/>
              <w:jc w:val="center"/>
              <w:rPr>
                <w:rFonts w:hint="eastAsia"/>
                <w:b/>
              </w:rPr>
            </w:pPr>
            <w:r>
              <w:rPr>
                <w:rFonts w:hint="eastAsia"/>
                <w:b/>
              </w:rPr>
              <w:t>十六、工会工作</w:t>
            </w:r>
          </w:p>
        </w:tc>
        <w:tc>
          <w:tcPr>
            <w:tcW w:w="3120" w:type="dxa"/>
            <w:noWrap w:val="0"/>
            <w:tcMar>
              <w:left w:w="20" w:type="dxa"/>
              <w:right w:w="20" w:type="dxa"/>
            </w:tcMar>
            <w:vAlign w:val="center"/>
          </w:tcPr>
          <w:p>
            <w:pPr>
              <w:jc w:val="center"/>
              <w:rPr>
                <w:rFonts w:hint="eastAsia"/>
              </w:rPr>
            </w:pPr>
            <w:r>
              <w:rPr>
                <w:rFonts w:hint="eastAsia"/>
              </w:rPr>
              <w:t>加强政治建设、</w:t>
            </w:r>
          </w:p>
          <w:p>
            <w:pPr>
              <w:jc w:val="center"/>
            </w:pPr>
            <w:r>
              <w:rPr>
                <w:rFonts w:hint="eastAsia"/>
              </w:rPr>
              <w:t>营造良好氛围</w:t>
            </w:r>
          </w:p>
        </w:tc>
        <w:tc>
          <w:tcPr>
            <w:tcW w:w="4961" w:type="dxa"/>
            <w:noWrap w:val="0"/>
            <w:vAlign w:val="center"/>
          </w:tcPr>
          <w:p>
            <w:r>
              <w:rPr>
                <w:rFonts w:hint="eastAsia"/>
              </w:rPr>
              <w:t>加强政治建设、职工职业道德建设，分工会职能发挥显著，教职工精神面貌积极向上。做好各类先进评选、慈善捐赠等公益工作。</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222" w:type="dxa"/>
            <w:vMerge w:val="continue"/>
            <w:noWrap w:val="0"/>
            <w:vAlign w:val="center"/>
          </w:tcPr>
          <w:p>
            <w:pPr>
              <w:spacing w:line="240" w:lineRule="atLeast"/>
              <w:jc w:val="center"/>
              <w:rPr>
                <w:rFonts w:hint="eastAsia"/>
                <w:b/>
                <w:bCs/>
              </w:rPr>
            </w:pPr>
          </w:p>
        </w:tc>
        <w:tc>
          <w:tcPr>
            <w:tcW w:w="3120" w:type="dxa"/>
            <w:noWrap w:val="0"/>
            <w:tcMar>
              <w:left w:w="20" w:type="dxa"/>
              <w:right w:w="20" w:type="dxa"/>
            </w:tcMar>
            <w:vAlign w:val="center"/>
          </w:tcPr>
          <w:p>
            <w:pPr>
              <w:jc w:val="center"/>
              <w:rPr>
                <w:rFonts w:hint="eastAsia"/>
              </w:rPr>
            </w:pPr>
            <w:r>
              <w:rPr>
                <w:rFonts w:hint="eastAsia"/>
              </w:rPr>
              <w:t>加强民主管理</w:t>
            </w:r>
          </w:p>
        </w:tc>
        <w:tc>
          <w:tcPr>
            <w:tcW w:w="4961" w:type="dxa"/>
            <w:noWrap w:val="0"/>
            <w:vAlign w:val="center"/>
          </w:tcPr>
          <w:p>
            <w:pPr>
              <w:spacing w:line="240" w:lineRule="atLeast"/>
              <w:rPr>
                <w:rFonts w:hint="eastAsia"/>
              </w:rPr>
            </w:pPr>
            <w:r>
              <w:rPr>
                <w:rFonts w:hint="eastAsia"/>
              </w:rPr>
              <w:t>组织召开二级教职工大会，</w:t>
            </w:r>
            <w:r>
              <w:t>听取本单位年度工作报告、财务工作报告</w:t>
            </w:r>
            <w:r>
              <w:rPr>
                <w:rFonts w:hint="eastAsia"/>
              </w:rPr>
              <w:t>、</w:t>
            </w:r>
            <w:r>
              <w:t>发展规划、工作计划、教职工队伍建设等重大问题和改革方案的报告，提出意见和建议。通过涉及教职工切身利益的劳动报酬、福利待遇等分配实施方案以及教职工聘任、考核、奖惩办法等其它重要管理制度和办法</w:t>
            </w:r>
            <w:r>
              <w:rPr>
                <w:rFonts w:hint="eastAsia"/>
              </w:rPr>
              <w:t>并及时报道1篇以上。</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22" w:type="dxa"/>
            <w:vMerge w:val="continue"/>
            <w:noWrap w:val="0"/>
            <w:vAlign w:val="center"/>
          </w:tcPr>
          <w:p>
            <w:pPr>
              <w:spacing w:line="240" w:lineRule="atLeast"/>
              <w:jc w:val="center"/>
              <w:rPr>
                <w:rFonts w:hint="eastAsia"/>
                <w:b/>
                <w:bCs/>
              </w:rPr>
            </w:pPr>
          </w:p>
        </w:tc>
        <w:tc>
          <w:tcPr>
            <w:tcW w:w="3120" w:type="dxa"/>
            <w:noWrap w:val="0"/>
            <w:tcMar>
              <w:left w:w="20" w:type="dxa"/>
              <w:right w:w="20" w:type="dxa"/>
            </w:tcMar>
            <w:vAlign w:val="center"/>
          </w:tcPr>
          <w:p>
            <w:pPr>
              <w:spacing w:line="240" w:lineRule="atLeast"/>
              <w:jc w:val="center"/>
              <w:rPr>
                <w:rFonts w:hint="eastAsia"/>
              </w:rPr>
            </w:pPr>
            <w:r>
              <w:rPr>
                <w:rFonts w:hint="eastAsia"/>
              </w:rPr>
              <w:t>做好职工慰问工作</w:t>
            </w:r>
          </w:p>
        </w:tc>
        <w:tc>
          <w:tcPr>
            <w:tcW w:w="4961" w:type="dxa"/>
            <w:noWrap w:val="0"/>
            <w:vAlign w:val="center"/>
          </w:tcPr>
          <w:p>
            <w:pPr>
              <w:spacing w:line="240" w:lineRule="atLeast"/>
              <w:rPr>
                <w:rFonts w:hint="eastAsia"/>
              </w:rPr>
            </w:pPr>
            <w:r>
              <w:rPr>
                <w:rFonts w:hint="eastAsia"/>
              </w:rPr>
              <w:t>做好教职工家庭大事“六必访”联系工作；做好关心困难教职工工作、生活。</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22" w:type="dxa"/>
            <w:vMerge w:val="continue"/>
            <w:noWrap w:val="0"/>
            <w:vAlign w:val="center"/>
          </w:tcPr>
          <w:p>
            <w:pPr>
              <w:spacing w:line="240" w:lineRule="atLeast"/>
              <w:jc w:val="center"/>
              <w:rPr>
                <w:rFonts w:hint="eastAsia"/>
                <w:b/>
                <w:bCs/>
              </w:rPr>
            </w:pPr>
          </w:p>
        </w:tc>
        <w:tc>
          <w:tcPr>
            <w:tcW w:w="3120" w:type="dxa"/>
            <w:noWrap w:val="0"/>
            <w:tcMar>
              <w:left w:w="20" w:type="dxa"/>
              <w:right w:w="20" w:type="dxa"/>
            </w:tcMar>
            <w:vAlign w:val="center"/>
          </w:tcPr>
          <w:p>
            <w:pPr>
              <w:spacing w:line="240" w:lineRule="atLeast"/>
              <w:jc w:val="center"/>
              <w:rPr>
                <w:rFonts w:hint="eastAsia"/>
              </w:rPr>
            </w:pPr>
            <w:r>
              <w:rPr>
                <w:rFonts w:hint="eastAsia"/>
              </w:rPr>
              <w:t>开展健康向上的</w:t>
            </w:r>
          </w:p>
          <w:p>
            <w:pPr>
              <w:spacing w:line="240" w:lineRule="atLeast"/>
              <w:jc w:val="center"/>
              <w:rPr>
                <w:rFonts w:hint="eastAsia"/>
              </w:rPr>
            </w:pPr>
            <w:r>
              <w:rPr>
                <w:rFonts w:hint="eastAsia"/>
              </w:rPr>
              <w:t>文体活动</w:t>
            </w:r>
          </w:p>
        </w:tc>
        <w:tc>
          <w:tcPr>
            <w:tcW w:w="4961" w:type="dxa"/>
            <w:noWrap w:val="0"/>
            <w:vAlign w:val="center"/>
          </w:tcPr>
          <w:p>
            <w:pPr>
              <w:spacing w:line="240" w:lineRule="atLeast"/>
              <w:rPr>
                <w:rFonts w:hint="eastAsia"/>
              </w:rPr>
            </w:pPr>
            <w:r>
              <w:rPr>
                <w:rFonts w:hint="eastAsia"/>
              </w:rPr>
              <w:t>组织教职工参加校运动会、文艺演出、羽毛球赛等大型文体活动，参与率高，效果好。组织好“春秋一日往返游”等其他文体活动等。</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22" w:type="dxa"/>
            <w:vMerge w:val="continue"/>
            <w:noWrap w:val="0"/>
            <w:vAlign w:val="center"/>
          </w:tcPr>
          <w:p>
            <w:pPr>
              <w:spacing w:line="240" w:lineRule="atLeast"/>
              <w:jc w:val="center"/>
              <w:rPr>
                <w:rFonts w:hint="eastAsia"/>
                <w:b/>
                <w:bCs/>
              </w:rPr>
            </w:pPr>
          </w:p>
        </w:tc>
        <w:tc>
          <w:tcPr>
            <w:tcW w:w="3120" w:type="dxa"/>
            <w:noWrap w:val="0"/>
            <w:tcMar>
              <w:left w:w="20" w:type="dxa"/>
              <w:right w:w="20" w:type="dxa"/>
            </w:tcMar>
            <w:vAlign w:val="center"/>
          </w:tcPr>
          <w:p>
            <w:pPr>
              <w:spacing w:line="240" w:lineRule="atLeast"/>
              <w:jc w:val="center"/>
              <w:rPr>
                <w:rFonts w:hint="eastAsia"/>
              </w:rPr>
            </w:pPr>
            <w:r>
              <w:rPr>
                <w:rFonts w:hint="eastAsia"/>
              </w:rPr>
              <w:t>分工会自身建设</w:t>
            </w:r>
          </w:p>
        </w:tc>
        <w:tc>
          <w:tcPr>
            <w:tcW w:w="4961" w:type="dxa"/>
            <w:noWrap w:val="0"/>
            <w:vAlign w:val="top"/>
          </w:tcPr>
          <w:p>
            <w:pPr>
              <w:spacing w:line="240" w:lineRule="atLeast"/>
              <w:rPr>
                <w:rFonts w:hint="eastAsia"/>
              </w:rPr>
            </w:pPr>
            <w:r>
              <w:rPr>
                <w:rFonts w:hint="eastAsia"/>
              </w:rPr>
              <w:t>二级党组织重视分工会建设，听取研究分工会工作1次以上；认真开展“职工小家”创建活动；分工会台账齐全、规范。</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22" w:type="dxa"/>
            <w:vMerge w:val="restart"/>
            <w:noWrap w:val="0"/>
            <w:vAlign w:val="center"/>
          </w:tcPr>
          <w:p>
            <w:pPr>
              <w:spacing w:line="240" w:lineRule="atLeast"/>
              <w:jc w:val="center"/>
              <w:rPr>
                <w:rFonts w:hint="eastAsia"/>
                <w:b/>
              </w:rPr>
            </w:pPr>
            <w:r>
              <w:rPr>
                <w:rFonts w:hint="eastAsia"/>
                <w:b/>
              </w:rPr>
              <w:t>十七、资产管理</w:t>
            </w:r>
          </w:p>
        </w:tc>
        <w:tc>
          <w:tcPr>
            <w:tcW w:w="3120" w:type="dxa"/>
            <w:noWrap w:val="0"/>
            <w:tcMar>
              <w:left w:w="20" w:type="dxa"/>
              <w:right w:w="20" w:type="dxa"/>
            </w:tcMar>
            <w:vAlign w:val="center"/>
          </w:tcPr>
          <w:p>
            <w:pPr>
              <w:spacing w:line="240" w:lineRule="atLeast"/>
              <w:jc w:val="center"/>
              <w:rPr>
                <w:rFonts w:hint="eastAsia"/>
              </w:rPr>
            </w:pPr>
            <w:r>
              <w:rPr>
                <w:rFonts w:hint="eastAsia"/>
              </w:rPr>
              <w:t>教学科研</w:t>
            </w:r>
          </w:p>
          <w:p>
            <w:pPr>
              <w:spacing w:line="240" w:lineRule="atLeast"/>
              <w:jc w:val="center"/>
            </w:pPr>
            <w:r>
              <w:rPr>
                <w:rFonts w:hint="eastAsia"/>
              </w:rPr>
              <w:t>仪器设备管理</w:t>
            </w:r>
          </w:p>
        </w:tc>
        <w:tc>
          <w:tcPr>
            <w:tcW w:w="4961" w:type="dxa"/>
            <w:noWrap w:val="0"/>
            <w:vAlign w:val="center"/>
          </w:tcPr>
          <w:p>
            <w:pPr>
              <w:spacing w:line="240" w:lineRule="atLeast"/>
            </w:pPr>
            <w:r>
              <w:rPr>
                <w:rFonts w:hint="eastAsia"/>
              </w:rPr>
              <w:t>管理规章和操作规程配备齐全、张贴规范、执行到位；仪器设备维修、维护、保养好，帐、物、标签相符；大型贵重仪器设备对产教融合的支持度高，绩效评估结果符合学校要求；单位资产管理的信息更新及时、报表准确完备。</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22" w:type="dxa"/>
            <w:vMerge w:val="continue"/>
            <w:noWrap w:val="0"/>
            <w:vAlign w:val="center"/>
          </w:tcPr>
          <w:p>
            <w:pPr>
              <w:spacing w:line="240" w:lineRule="atLeast"/>
              <w:jc w:val="center"/>
              <w:rPr>
                <w:rFonts w:hint="eastAsia"/>
                <w:b/>
                <w:bCs/>
              </w:rPr>
            </w:pPr>
          </w:p>
        </w:tc>
        <w:tc>
          <w:tcPr>
            <w:tcW w:w="3120" w:type="dxa"/>
            <w:noWrap w:val="0"/>
            <w:tcMar>
              <w:left w:w="20" w:type="dxa"/>
              <w:right w:w="20" w:type="dxa"/>
            </w:tcMar>
            <w:vAlign w:val="center"/>
          </w:tcPr>
          <w:p>
            <w:pPr>
              <w:spacing w:line="240" w:lineRule="atLeast"/>
              <w:jc w:val="center"/>
            </w:pPr>
            <w:r>
              <w:rPr>
                <w:rFonts w:hint="eastAsia"/>
              </w:rPr>
              <w:t>资产采购</w:t>
            </w:r>
          </w:p>
        </w:tc>
        <w:tc>
          <w:tcPr>
            <w:tcW w:w="4961" w:type="dxa"/>
            <w:noWrap w:val="0"/>
            <w:vAlign w:val="center"/>
          </w:tcPr>
          <w:p>
            <w:pPr>
              <w:spacing w:line="240" w:lineRule="atLeast"/>
            </w:pPr>
            <w:r>
              <w:rPr>
                <w:rFonts w:hint="eastAsia"/>
              </w:rPr>
              <w:t>采购计划编制科学，采购需求明确完备，调整变更少；新购仪器设备及时配备责任人，安放调试科学合理，验收启用及时合规。</w:t>
            </w:r>
          </w:p>
        </w:tc>
        <w:tc>
          <w:tcPr>
            <w:tcW w:w="1165" w:type="dxa"/>
            <w:noWrap w:val="0"/>
            <w:tcMar>
              <w:left w:w="20" w:type="dxa"/>
              <w:right w:w="20" w:type="dxa"/>
            </w:tcMar>
            <w:vAlign w:val="center"/>
          </w:tcPr>
          <w:p>
            <w:pPr>
              <w:spacing w:line="240" w:lineRule="atLeas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22" w:type="dxa"/>
            <w:vMerge w:val="continue"/>
            <w:noWrap w:val="0"/>
            <w:vAlign w:val="center"/>
          </w:tcPr>
          <w:p>
            <w:pPr>
              <w:spacing w:line="240" w:lineRule="atLeast"/>
              <w:jc w:val="center"/>
              <w:rPr>
                <w:rFonts w:hint="eastAsia"/>
                <w:b/>
                <w:bCs/>
              </w:rPr>
            </w:pPr>
          </w:p>
        </w:tc>
        <w:tc>
          <w:tcPr>
            <w:tcW w:w="3120" w:type="dxa"/>
            <w:noWrap w:val="0"/>
            <w:tcMar>
              <w:left w:w="20" w:type="dxa"/>
              <w:right w:w="20" w:type="dxa"/>
            </w:tcMar>
            <w:vAlign w:val="center"/>
          </w:tcPr>
          <w:p>
            <w:pPr>
              <w:spacing w:line="240" w:lineRule="atLeast"/>
              <w:jc w:val="center"/>
            </w:pPr>
            <w:r>
              <w:rPr>
                <w:rFonts w:hint="eastAsia"/>
              </w:rPr>
              <w:t>房产管理</w:t>
            </w:r>
          </w:p>
        </w:tc>
        <w:tc>
          <w:tcPr>
            <w:tcW w:w="4961" w:type="dxa"/>
            <w:noWrap w:val="0"/>
            <w:vAlign w:val="center"/>
          </w:tcPr>
          <w:p>
            <w:pPr>
              <w:spacing w:line="240" w:lineRule="atLeast"/>
            </w:pPr>
            <w:r>
              <w:rPr>
                <w:rFonts w:hint="eastAsia"/>
              </w:rPr>
              <w:t>各类用房安排合理、使用规范；房屋用途变更和改造及时报批，手续齐全；本单位无行政办公用房超标现象。</w:t>
            </w:r>
          </w:p>
        </w:tc>
        <w:tc>
          <w:tcPr>
            <w:tcW w:w="1165" w:type="dxa"/>
            <w:noWrap w:val="0"/>
            <w:tcMar>
              <w:left w:w="20" w:type="dxa"/>
              <w:right w:w="20" w:type="dxa"/>
            </w:tcMar>
            <w:vAlign w:val="center"/>
          </w:tcPr>
          <w:p>
            <w:pPr>
              <w:spacing w:line="240" w:lineRule="atLeast"/>
            </w:pPr>
          </w:p>
        </w:tc>
      </w:tr>
    </w:tbl>
    <w:p>
      <w:pPr>
        <w:spacing w:before="156" w:beforeLines="50" w:line="560" w:lineRule="exact"/>
        <w:ind w:firstLine="630" w:firstLineChars="300"/>
        <w:rPr>
          <w:rFonts w:hint="eastAsia"/>
          <w:bCs/>
        </w:rPr>
      </w:pPr>
    </w:p>
    <w:p>
      <w:pPr>
        <w:spacing w:before="156" w:beforeLines="50" w:line="560" w:lineRule="exact"/>
        <w:ind w:firstLine="630" w:firstLineChars="300"/>
        <w:rPr>
          <w:bCs/>
        </w:rPr>
      </w:pPr>
      <w:bookmarkStart w:id="0" w:name="_GoBack"/>
      <w:bookmarkEnd w:id="0"/>
      <w:r>
        <w:rPr>
          <w:rFonts w:hint="eastAsia"/>
          <w:bCs/>
        </w:rPr>
        <w:t>党委书记：　　　  　　　　　                     党委书记：</w:t>
      </w:r>
    </w:p>
    <w:p>
      <w:pPr>
        <w:spacing w:line="560" w:lineRule="exact"/>
        <w:ind w:left="-425" w:leftChars="-269" w:hanging="140" w:hangingChars="67"/>
        <w:rPr>
          <w:bCs/>
        </w:rPr>
      </w:pPr>
      <w:r>
        <w:rPr>
          <w:rFonts w:hint="eastAsia"/>
        </w:rPr>
        <w:t xml:space="preserve">常州工学院 　　　　　　　　　　　　　　　          </w:t>
      </w:r>
      <w:r>
        <w:rPr>
          <w:rFonts w:hint="eastAsia"/>
          <w:bCs/>
        </w:rPr>
        <w:t>二级学院</w:t>
      </w:r>
    </w:p>
    <w:p>
      <w:pPr>
        <w:spacing w:line="560" w:lineRule="exact"/>
        <w:ind w:firstLine="630" w:firstLineChars="300"/>
      </w:pPr>
      <w:r>
        <w:rPr>
          <w:rFonts w:hint="eastAsia"/>
        </w:rPr>
        <w:t>校　　长：　　　　　                   　 　　   院　　长:</w:t>
      </w:r>
    </w:p>
    <w:p>
      <w:pPr>
        <w:spacing w:before="312" w:beforeLines="100" w:line="560" w:lineRule="exact"/>
        <w:ind w:firstLine="6720" w:firstLineChars="3200"/>
      </w:pPr>
      <w:r>
        <w:rPr>
          <w:rFonts w:hint="eastAsia"/>
        </w:rPr>
        <w:t xml:space="preserve"> 二〇二四年三月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10</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DdhMmI1NGQ4MjlkYTQ2MzVjYWVjMTNmOGFjZTUifQ=="/>
  </w:docVars>
  <w:rsids>
    <w:rsidRoot w:val="00904085"/>
    <w:rsid w:val="00000FD7"/>
    <w:rsid w:val="0000386D"/>
    <w:rsid w:val="000040F9"/>
    <w:rsid w:val="000115CE"/>
    <w:rsid w:val="000140BB"/>
    <w:rsid w:val="00016CA8"/>
    <w:rsid w:val="00017582"/>
    <w:rsid w:val="00021319"/>
    <w:rsid w:val="00027D17"/>
    <w:rsid w:val="00037066"/>
    <w:rsid w:val="0004277E"/>
    <w:rsid w:val="00056B1C"/>
    <w:rsid w:val="00057659"/>
    <w:rsid w:val="000577EF"/>
    <w:rsid w:val="0006595A"/>
    <w:rsid w:val="00070ACC"/>
    <w:rsid w:val="0007784C"/>
    <w:rsid w:val="0008433E"/>
    <w:rsid w:val="00084FC1"/>
    <w:rsid w:val="00087371"/>
    <w:rsid w:val="000A4F28"/>
    <w:rsid w:val="000A7CB0"/>
    <w:rsid w:val="000D308C"/>
    <w:rsid w:val="000E6DE8"/>
    <w:rsid w:val="0010426A"/>
    <w:rsid w:val="00106913"/>
    <w:rsid w:val="00122F88"/>
    <w:rsid w:val="00133879"/>
    <w:rsid w:val="00135AAB"/>
    <w:rsid w:val="00137AE8"/>
    <w:rsid w:val="0014590D"/>
    <w:rsid w:val="00150EC9"/>
    <w:rsid w:val="0015643A"/>
    <w:rsid w:val="001669FE"/>
    <w:rsid w:val="0017198E"/>
    <w:rsid w:val="001726FF"/>
    <w:rsid w:val="001848D0"/>
    <w:rsid w:val="00192417"/>
    <w:rsid w:val="00192542"/>
    <w:rsid w:val="00194CDB"/>
    <w:rsid w:val="001A7147"/>
    <w:rsid w:val="001D1F18"/>
    <w:rsid w:val="001D6BBC"/>
    <w:rsid w:val="001E52C2"/>
    <w:rsid w:val="001E7A5A"/>
    <w:rsid w:val="00201051"/>
    <w:rsid w:val="00201095"/>
    <w:rsid w:val="00213704"/>
    <w:rsid w:val="00216CF3"/>
    <w:rsid w:val="0023303E"/>
    <w:rsid w:val="00237CF1"/>
    <w:rsid w:val="00244DE0"/>
    <w:rsid w:val="00253026"/>
    <w:rsid w:val="00256329"/>
    <w:rsid w:val="0027162C"/>
    <w:rsid w:val="00275802"/>
    <w:rsid w:val="0027792C"/>
    <w:rsid w:val="002819E1"/>
    <w:rsid w:val="002843EF"/>
    <w:rsid w:val="00293752"/>
    <w:rsid w:val="00293FF3"/>
    <w:rsid w:val="002B51BF"/>
    <w:rsid w:val="002C0B21"/>
    <w:rsid w:val="002C0FB7"/>
    <w:rsid w:val="002C3A6E"/>
    <w:rsid w:val="002D50B5"/>
    <w:rsid w:val="002E3914"/>
    <w:rsid w:val="002E3BE5"/>
    <w:rsid w:val="002E49BD"/>
    <w:rsid w:val="002F1718"/>
    <w:rsid w:val="003022BF"/>
    <w:rsid w:val="00303B6F"/>
    <w:rsid w:val="00304A1C"/>
    <w:rsid w:val="0031442D"/>
    <w:rsid w:val="00322664"/>
    <w:rsid w:val="00324D8A"/>
    <w:rsid w:val="00325E2D"/>
    <w:rsid w:val="003266E2"/>
    <w:rsid w:val="003369AD"/>
    <w:rsid w:val="00341477"/>
    <w:rsid w:val="00345E70"/>
    <w:rsid w:val="00346D96"/>
    <w:rsid w:val="00346EC0"/>
    <w:rsid w:val="003570F2"/>
    <w:rsid w:val="00362C1E"/>
    <w:rsid w:val="00371098"/>
    <w:rsid w:val="00373F04"/>
    <w:rsid w:val="003755B7"/>
    <w:rsid w:val="00376A62"/>
    <w:rsid w:val="00377063"/>
    <w:rsid w:val="003804F4"/>
    <w:rsid w:val="00380570"/>
    <w:rsid w:val="00382FB1"/>
    <w:rsid w:val="00384297"/>
    <w:rsid w:val="0038762F"/>
    <w:rsid w:val="0039643B"/>
    <w:rsid w:val="00396576"/>
    <w:rsid w:val="003A5696"/>
    <w:rsid w:val="003A7B3B"/>
    <w:rsid w:val="003B0405"/>
    <w:rsid w:val="003B29BF"/>
    <w:rsid w:val="003C684E"/>
    <w:rsid w:val="003C70A6"/>
    <w:rsid w:val="003E370F"/>
    <w:rsid w:val="00402E73"/>
    <w:rsid w:val="004039D0"/>
    <w:rsid w:val="0041141D"/>
    <w:rsid w:val="00432E77"/>
    <w:rsid w:val="004352A7"/>
    <w:rsid w:val="00437C8C"/>
    <w:rsid w:val="00441901"/>
    <w:rsid w:val="00442D39"/>
    <w:rsid w:val="00444C3A"/>
    <w:rsid w:val="004461F0"/>
    <w:rsid w:val="00450757"/>
    <w:rsid w:val="00454418"/>
    <w:rsid w:val="00456FCB"/>
    <w:rsid w:val="0046466C"/>
    <w:rsid w:val="00470802"/>
    <w:rsid w:val="004801B2"/>
    <w:rsid w:val="004802F4"/>
    <w:rsid w:val="00484E1F"/>
    <w:rsid w:val="00491B9F"/>
    <w:rsid w:val="00497A61"/>
    <w:rsid w:val="004A0B46"/>
    <w:rsid w:val="004A6882"/>
    <w:rsid w:val="004B1C5F"/>
    <w:rsid w:val="004B4753"/>
    <w:rsid w:val="004B62A3"/>
    <w:rsid w:val="004C5948"/>
    <w:rsid w:val="004D0FD5"/>
    <w:rsid w:val="004D6849"/>
    <w:rsid w:val="004E0565"/>
    <w:rsid w:val="004E4E6C"/>
    <w:rsid w:val="004F107C"/>
    <w:rsid w:val="004F16B7"/>
    <w:rsid w:val="00501B14"/>
    <w:rsid w:val="00512B97"/>
    <w:rsid w:val="00514938"/>
    <w:rsid w:val="0053180C"/>
    <w:rsid w:val="00532AF5"/>
    <w:rsid w:val="0054303E"/>
    <w:rsid w:val="00545C58"/>
    <w:rsid w:val="0055506F"/>
    <w:rsid w:val="00562FBA"/>
    <w:rsid w:val="00564EBC"/>
    <w:rsid w:val="00565C86"/>
    <w:rsid w:val="00567217"/>
    <w:rsid w:val="0057090F"/>
    <w:rsid w:val="0058642B"/>
    <w:rsid w:val="005867B4"/>
    <w:rsid w:val="00591868"/>
    <w:rsid w:val="00594866"/>
    <w:rsid w:val="005A1A5A"/>
    <w:rsid w:val="005A2C0B"/>
    <w:rsid w:val="005A45D2"/>
    <w:rsid w:val="005B1465"/>
    <w:rsid w:val="005B52B3"/>
    <w:rsid w:val="005C0EC5"/>
    <w:rsid w:val="005E5E94"/>
    <w:rsid w:val="005F0481"/>
    <w:rsid w:val="005F269C"/>
    <w:rsid w:val="005F4302"/>
    <w:rsid w:val="00604444"/>
    <w:rsid w:val="0060470C"/>
    <w:rsid w:val="0060505C"/>
    <w:rsid w:val="0060776D"/>
    <w:rsid w:val="00613C93"/>
    <w:rsid w:val="00615232"/>
    <w:rsid w:val="00620850"/>
    <w:rsid w:val="0062162E"/>
    <w:rsid w:val="00623240"/>
    <w:rsid w:val="0062504B"/>
    <w:rsid w:val="00625FE4"/>
    <w:rsid w:val="00644F3A"/>
    <w:rsid w:val="00647F26"/>
    <w:rsid w:val="00652D51"/>
    <w:rsid w:val="00652E91"/>
    <w:rsid w:val="00667A0C"/>
    <w:rsid w:val="006706B0"/>
    <w:rsid w:val="006754F1"/>
    <w:rsid w:val="00684ADA"/>
    <w:rsid w:val="00685077"/>
    <w:rsid w:val="00691599"/>
    <w:rsid w:val="006A27FB"/>
    <w:rsid w:val="006A2BDF"/>
    <w:rsid w:val="006A6A7E"/>
    <w:rsid w:val="006B1F7F"/>
    <w:rsid w:val="006C1202"/>
    <w:rsid w:val="006C1B3F"/>
    <w:rsid w:val="006C6215"/>
    <w:rsid w:val="006C6428"/>
    <w:rsid w:val="006C6FB9"/>
    <w:rsid w:val="006D0D96"/>
    <w:rsid w:val="006D1EB1"/>
    <w:rsid w:val="006E5A6B"/>
    <w:rsid w:val="007046A0"/>
    <w:rsid w:val="00706EF9"/>
    <w:rsid w:val="0070792D"/>
    <w:rsid w:val="00716544"/>
    <w:rsid w:val="00725E57"/>
    <w:rsid w:val="00727183"/>
    <w:rsid w:val="00737AE3"/>
    <w:rsid w:val="00737D5B"/>
    <w:rsid w:val="00756967"/>
    <w:rsid w:val="007624F0"/>
    <w:rsid w:val="00764910"/>
    <w:rsid w:val="00765E2A"/>
    <w:rsid w:val="0078040C"/>
    <w:rsid w:val="007816E1"/>
    <w:rsid w:val="007A0B97"/>
    <w:rsid w:val="007A6C74"/>
    <w:rsid w:val="007B4976"/>
    <w:rsid w:val="007B5BD3"/>
    <w:rsid w:val="007C5D72"/>
    <w:rsid w:val="007C6219"/>
    <w:rsid w:val="007E09AF"/>
    <w:rsid w:val="007F280B"/>
    <w:rsid w:val="007F3801"/>
    <w:rsid w:val="008014F3"/>
    <w:rsid w:val="00801B8F"/>
    <w:rsid w:val="00812E0A"/>
    <w:rsid w:val="00815991"/>
    <w:rsid w:val="00817660"/>
    <w:rsid w:val="00831948"/>
    <w:rsid w:val="00832F4C"/>
    <w:rsid w:val="00834368"/>
    <w:rsid w:val="008379F9"/>
    <w:rsid w:val="00844213"/>
    <w:rsid w:val="008529DD"/>
    <w:rsid w:val="00853E47"/>
    <w:rsid w:val="00855A2A"/>
    <w:rsid w:val="00862C3C"/>
    <w:rsid w:val="0087179A"/>
    <w:rsid w:val="008770DA"/>
    <w:rsid w:val="0087785F"/>
    <w:rsid w:val="00887CD8"/>
    <w:rsid w:val="008A049C"/>
    <w:rsid w:val="008A3864"/>
    <w:rsid w:val="008A6F37"/>
    <w:rsid w:val="008B2694"/>
    <w:rsid w:val="008B5301"/>
    <w:rsid w:val="008D4EA3"/>
    <w:rsid w:val="008D6041"/>
    <w:rsid w:val="008E2A04"/>
    <w:rsid w:val="008E42DD"/>
    <w:rsid w:val="00904085"/>
    <w:rsid w:val="0090462B"/>
    <w:rsid w:val="00906DDE"/>
    <w:rsid w:val="00914F4E"/>
    <w:rsid w:val="00920BAD"/>
    <w:rsid w:val="009231D3"/>
    <w:rsid w:val="009238E9"/>
    <w:rsid w:val="00924BAD"/>
    <w:rsid w:val="009255E6"/>
    <w:rsid w:val="00931C7A"/>
    <w:rsid w:val="00933061"/>
    <w:rsid w:val="00942D52"/>
    <w:rsid w:val="00952078"/>
    <w:rsid w:val="00953C4F"/>
    <w:rsid w:val="0095698A"/>
    <w:rsid w:val="00962E50"/>
    <w:rsid w:val="00964227"/>
    <w:rsid w:val="00966E65"/>
    <w:rsid w:val="0097024D"/>
    <w:rsid w:val="00971A68"/>
    <w:rsid w:val="009907C1"/>
    <w:rsid w:val="00995726"/>
    <w:rsid w:val="009A09C9"/>
    <w:rsid w:val="009B6BA6"/>
    <w:rsid w:val="009C7678"/>
    <w:rsid w:val="00A05A16"/>
    <w:rsid w:val="00A06D63"/>
    <w:rsid w:val="00A20AA0"/>
    <w:rsid w:val="00A24C16"/>
    <w:rsid w:val="00A27174"/>
    <w:rsid w:val="00A37F4C"/>
    <w:rsid w:val="00A43848"/>
    <w:rsid w:val="00A51660"/>
    <w:rsid w:val="00A532DB"/>
    <w:rsid w:val="00A575B0"/>
    <w:rsid w:val="00A57899"/>
    <w:rsid w:val="00A60410"/>
    <w:rsid w:val="00A6122D"/>
    <w:rsid w:val="00A669CB"/>
    <w:rsid w:val="00A712AD"/>
    <w:rsid w:val="00A90ECF"/>
    <w:rsid w:val="00A91474"/>
    <w:rsid w:val="00A94423"/>
    <w:rsid w:val="00A9793A"/>
    <w:rsid w:val="00AA69F1"/>
    <w:rsid w:val="00AB1576"/>
    <w:rsid w:val="00AB7803"/>
    <w:rsid w:val="00AC091E"/>
    <w:rsid w:val="00AD40BC"/>
    <w:rsid w:val="00AD42A6"/>
    <w:rsid w:val="00AD5A86"/>
    <w:rsid w:val="00AD6963"/>
    <w:rsid w:val="00AE03AD"/>
    <w:rsid w:val="00AE4DAD"/>
    <w:rsid w:val="00AE7819"/>
    <w:rsid w:val="00AE7CCD"/>
    <w:rsid w:val="00B020EA"/>
    <w:rsid w:val="00B10C7F"/>
    <w:rsid w:val="00B111A6"/>
    <w:rsid w:val="00B16764"/>
    <w:rsid w:val="00B17315"/>
    <w:rsid w:val="00B17675"/>
    <w:rsid w:val="00B32C7A"/>
    <w:rsid w:val="00B372B3"/>
    <w:rsid w:val="00B43B80"/>
    <w:rsid w:val="00B60417"/>
    <w:rsid w:val="00B760E8"/>
    <w:rsid w:val="00B80864"/>
    <w:rsid w:val="00B81CBD"/>
    <w:rsid w:val="00B87F63"/>
    <w:rsid w:val="00B96796"/>
    <w:rsid w:val="00BC00A7"/>
    <w:rsid w:val="00BC2A26"/>
    <w:rsid w:val="00BD046A"/>
    <w:rsid w:val="00BD7197"/>
    <w:rsid w:val="00BE19FA"/>
    <w:rsid w:val="00BE4B7E"/>
    <w:rsid w:val="00BF221F"/>
    <w:rsid w:val="00C0061A"/>
    <w:rsid w:val="00C05627"/>
    <w:rsid w:val="00C06D86"/>
    <w:rsid w:val="00C0792E"/>
    <w:rsid w:val="00C07FF7"/>
    <w:rsid w:val="00C21D3D"/>
    <w:rsid w:val="00C233FE"/>
    <w:rsid w:val="00C35EF0"/>
    <w:rsid w:val="00C52481"/>
    <w:rsid w:val="00C536D7"/>
    <w:rsid w:val="00C57DAE"/>
    <w:rsid w:val="00C72831"/>
    <w:rsid w:val="00C770BF"/>
    <w:rsid w:val="00C7740E"/>
    <w:rsid w:val="00C81CA3"/>
    <w:rsid w:val="00C83CF9"/>
    <w:rsid w:val="00C8539B"/>
    <w:rsid w:val="00C85E34"/>
    <w:rsid w:val="00C872FA"/>
    <w:rsid w:val="00C91D8A"/>
    <w:rsid w:val="00CA24D9"/>
    <w:rsid w:val="00CB04B2"/>
    <w:rsid w:val="00CB4A2C"/>
    <w:rsid w:val="00CB611E"/>
    <w:rsid w:val="00CC1489"/>
    <w:rsid w:val="00CC63A1"/>
    <w:rsid w:val="00CD0B03"/>
    <w:rsid w:val="00CE3B0A"/>
    <w:rsid w:val="00CE74A3"/>
    <w:rsid w:val="00D07131"/>
    <w:rsid w:val="00D159AD"/>
    <w:rsid w:val="00D16D70"/>
    <w:rsid w:val="00D17E13"/>
    <w:rsid w:val="00D36DD2"/>
    <w:rsid w:val="00D40998"/>
    <w:rsid w:val="00D555B1"/>
    <w:rsid w:val="00D629CF"/>
    <w:rsid w:val="00D65AE4"/>
    <w:rsid w:val="00D733E8"/>
    <w:rsid w:val="00D84ADB"/>
    <w:rsid w:val="00D862D5"/>
    <w:rsid w:val="00D918B7"/>
    <w:rsid w:val="00D95255"/>
    <w:rsid w:val="00D95287"/>
    <w:rsid w:val="00D95479"/>
    <w:rsid w:val="00DA43CE"/>
    <w:rsid w:val="00DA4FF0"/>
    <w:rsid w:val="00DA7B89"/>
    <w:rsid w:val="00DB0DE2"/>
    <w:rsid w:val="00DB3242"/>
    <w:rsid w:val="00DB6BAF"/>
    <w:rsid w:val="00DB6F5C"/>
    <w:rsid w:val="00DC1706"/>
    <w:rsid w:val="00DC1B4D"/>
    <w:rsid w:val="00DC2429"/>
    <w:rsid w:val="00DC6B0F"/>
    <w:rsid w:val="00DD0516"/>
    <w:rsid w:val="00DD3B0C"/>
    <w:rsid w:val="00DE5C50"/>
    <w:rsid w:val="00DF13DB"/>
    <w:rsid w:val="00DF58B1"/>
    <w:rsid w:val="00E03793"/>
    <w:rsid w:val="00E1093A"/>
    <w:rsid w:val="00E11166"/>
    <w:rsid w:val="00E148F3"/>
    <w:rsid w:val="00E34BE1"/>
    <w:rsid w:val="00E41888"/>
    <w:rsid w:val="00E527D2"/>
    <w:rsid w:val="00E54AE0"/>
    <w:rsid w:val="00E54B04"/>
    <w:rsid w:val="00E566FC"/>
    <w:rsid w:val="00E57447"/>
    <w:rsid w:val="00E67814"/>
    <w:rsid w:val="00E67D9D"/>
    <w:rsid w:val="00E7083C"/>
    <w:rsid w:val="00E70A52"/>
    <w:rsid w:val="00E77DC8"/>
    <w:rsid w:val="00E92103"/>
    <w:rsid w:val="00E9251F"/>
    <w:rsid w:val="00E96328"/>
    <w:rsid w:val="00E9667F"/>
    <w:rsid w:val="00E96BA4"/>
    <w:rsid w:val="00EB0181"/>
    <w:rsid w:val="00EB5033"/>
    <w:rsid w:val="00EB5199"/>
    <w:rsid w:val="00EB51ED"/>
    <w:rsid w:val="00EB62DC"/>
    <w:rsid w:val="00EC46E5"/>
    <w:rsid w:val="00EC5766"/>
    <w:rsid w:val="00EC73E5"/>
    <w:rsid w:val="00ED6EE6"/>
    <w:rsid w:val="00EF0509"/>
    <w:rsid w:val="00EF1577"/>
    <w:rsid w:val="00EF4184"/>
    <w:rsid w:val="00EF4BEB"/>
    <w:rsid w:val="00EF5FC1"/>
    <w:rsid w:val="00EF6A7D"/>
    <w:rsid w:val="00F00227"/>
    <w:rsid w:val="00F03CA9"/>
    <w:rsid w:val="00F044D4"/>
    <w:rsid w:val="00F10CFD"/>
    <w:rsid w:val="00F162CD"/>
    <w:rsid w:val="00F200D2"/>
    <w:rsid w:val="00F20363"/>
    <w:rsid w:val="00F26ECB"/>
    <w:rsid w:val="00F313DE"/>
    <w:rsid w:val="00F316CA"/>
    <w:rsid w:val="00F32081"/>
    <w:rsid w:val="00F33C71"/>
    <w:rsid w:val="00F353AF"/>
    <w:rsid w:val="00F37BDD"/>
    <w:rsid w:val="00F44013"/>
    <w:rsid w:val="00F5155A"/>
    <w:rsid w:val="00F536A8"/>
    <w:rsid w:val="00F54B7E"/>
    <w:rsid w:val="00F55AEC"/>
    <w:rsid w:val="00F62391"/>
    <w:rsid w:val="00F64AEE"/>
    <w:rsid w:val="00F71674"/>
    <w:rsid w:val="00F773B9"/>
    <w:rsid w:val="00F97A28"/>
    <w:rsid w:val="00FA450A"/>
    <w:rsid w:val="00FB4487"/>
    <w:rsid w:val="00FB5196"/>
    <w:rsid w:val="00FB74A6"/>
    <w:rsid w:val="00FB7623"/>
    <w:rsid w:val="00FD0EC5"/>
    <w:rsid w:val="00FD210A"/>
    <w:rsid w:val="00FD351C"/>
    <w:rsid w:val="00FD36B7"/>
    <w:rsid w:val="00FD48C4"/>
    <w:rsid w:val="00FE3C61"/>
    <w:rsid w:val="00FF3FF9"/>
    <w:rsid w:val="04F6005C"/>
    <w:rsid w:val="05136181"/>
    <w:rsid w:val="0A6307F6"/>
    <w:rsid w:val="12FC6E20"/>
    <w:rsid w:val="17407726"/>
    <w:rsid w:val="24490420"/>
    <w:rsid w:val="24E66BF0"/>
    <w:rsid w:val="28CA6348"/>
    <w:rsid w:val="30897B67"/>
    <w:rsid w:val="34F41C34"/>
    <w:rsid w:val="38D74E7A"/>
    <w:rsid w:val="3CC2150A"/>
    <w:rsid w:val="401D7A68"/>
    <w:rsid w:val="419B1284"/>
    <w:rsid w:val="47FC4313"/>
    <w:rsid w:val="53845ED9"/>
    <w:rsid w:val="5B93255F"/>
    <w:rsid w:val="60D14BE6"/>
    <w:rsid w:val="64C2083D"/>
    <w:rsid w:val="68581456"/>
    <w:rsid w:val="6D245825"/>
    <w:rsid w:val="6E594199"/>
    <w:rsid w:val="71656CCF"/>
    <w:rsid w:val="72B66CB8"/>
    <w:rsid w:val="78CF1137"/>
    <w:rsid w:val="7C541407"/>
    <w:rsid w:val="7F6037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1"/>
    <w:autoRedefine/>
    <w:qFormat/>
    <w:uiPriority w:val="99"/>
    <w:pPr>
      <w:keepNext/>
      <w:keepLines/>
      <w:spacing w:before="340" w:after="330" w:line="578" w:lineRule="auto"/>
      <w:outlineLvl w:val="0"/>
    </w:pPr>
    <w:rPr>
      <w:b/>
      <w:bCs/>
      <w:kern w:val="44"/>
      <w:sz w:val="44"/>
      <w:szCs w:val="44"/>
    </w:rPr>
  </w:style>
  <w:style w:type="character" w:default="1" w:styleId="10">
    <w:name w:val="Default Paragraph Font"/>
    <w:autoRedefine/>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uiPriority w:val="99"/>
    <w:pPr>
      <w:jc w:val="left"/>
    </w:pPr>
  </w:style>
  <w:style w:type="paragraph" w:styleId="4">
    <w:name w:val="Balloon Text"/>
    <w:basedOn w:val="1"/>
    <w:link w:val="12"/>
    <w:unhideWhenUsed/>
    <w:uiPriority w:val="99"/>
    <w:rPr>
      <w:sz w:val="18"/>
      <w:szCs w:val="18"/>
    </w:rPr>
  </w:style>
  <w:style w:type="paragraph" w:styleId="5">
    <w:name w:val="footer"/>
    <w:basedOn w:val="1"/>
    <w:link w:val="13"/>
    <w:uiPriority w:val="99"/>
    <w:pPr>
      <w:tabs>
        <w:tab w:val="center" w:pos="4153"/>
        <w:tab w:val="right" w:pos="8306"/>
      </w:tabs>
      <w:snapToGrid w:val="0"/>
      <w:jc w:val="left"/>
    </w:pPr>
    <w:rPr>
      <w:kern w:val="0"/>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iPriority w:val="0"/>
    <w:pPr>
      <w:spacing w:beforeAutospacing="1" w:afterAutospacing="1"/>
      <w:jc w:val="left"/>
    </w:pPr>
    <w:rPr>
      <w:rFonts w:ascii="Calibri" w:hAnsi="Calibri" w:eastAsia="宋体"/>
      <w:kern w:val="0"/>
      <w:sz w:val="24"/>
      <w:szCs w:val="24"/>
    </w:rPr>
  </w:style>
  <w:style w:type="table" w:styleId="9">
    <w:name w:val="Table Grid"/>
    <w:basedOn w:val="8"/>
    <w:autoRedefine/>
    <w:qFormat/>
    <w:locked/>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link w:val="2"/>
    <w:autoRedefine/>
    <w:qFormat/>
    <w:locked/>
    <w:uiPriority w:val="99"/>
    <w:rPr>
      <w:rFonts w:ascii="Times New Roman" w:hAnsi="Times New Roman" w:eastAsia="宋体" w:cs="Times New Roman"/>
      <w:b/>
      <w:bCs/>
      <w:kern w:val="44"/>
      <w:sz w:val="44"/>
      <w:szCs w:val="44"/>
    </w:rPr>
  </w:style>
  <w:style w:type="character" w:customStyle="1" w:styleId="12">
    <w:name w:val="批注框文本 Char"/>
    <w:link w:val="4"/>
    <w:autoRedefine/>
    <w:semiHidden/>
    <w:qFormat/>
    <w:uiPriority w:val="99"/>
    <w:rPr>
      <w:rFonts w:ascii="Times New Roman" w:hAnsi="Times New Roman"/>
      <w:kern w:val="2"/>
      <w:sz w:val="18"/>
      <w:szCs w:val="18"/>
    </w:rPr>
  </w:style>
  <w:style w:type="character" w:customStyle="1" w:styleId="13">
    <w:name w:val="页脚 Char"/>
    <w:link w:val="5"/>
    <w:autoRedefine/>
    <w:qFormat/>
    <w:locked/>
    <w:uiPriority w:val="99"/>
    <w:rPr>
      <w:rFonts w:ascii="Times New Roman" w:hAnsi="Times New Roman" w:eastAsia="宋体" w:cs="Times New Roman"/>
      <w:sz w:val="18"/>
      <w:szCs w:val="18"/>
    </w:rPr>
  </w:style>
  <w:style w:type="character" w:customStyle="1" w:styleId="14">
    <w:name w:val="页眉 Char"/>
    <w:link w:val="6"/>
    <w:autoRedefine/>
    <w:qFormat/>
    <w:locked/>
    <w:uiPriority w:val="99"/>
    <w:rPr>
      <w:rFonts w:ascii="Times New Roman" w:hAnsi="Times New Roman" w:eastAsia="宋体" w:cs="Times New Roman"/>
      <w:sz w:val="18"/>
      <w:szCs w:val="18"/>
    </w:rPr>
  </w:style>
  <w:style w:type="paragraph" w:customStyle="1" w:styleId="15">
    <w:name w:val="Char1"/>
    <w:basedOn w:val="2"/>
    <w:autoRedefine/>
    <w:qFormat/>
    <w:uiPriority w:val="99"/>
    <w:pPr>
      <w:snapToGrid w:val="0"/>
      <w:spacing w:before="240" w:after="240" w:line="348" w:lineRule="auto"/>
    </w:pPr>
    <w:rPr>
      <w:rFonts w:ascii="Tahoma" w:hAnsi="Tahoma" w:cs="Tahoma"/>
      <w:kern w:val="2"/>
      <w:sz w:val="24"/>
      <w:szCs w:val="24"/>
    </w:rPr>
  </w:style>
  <w:style w:type="paragraph" w:customStyle="1" w:styleId="16">
    <w:name w:val=" Char Char2"/>
    <w:basedOn w:val="2"/>
    <w:autoRedefine/>
    <w:qFormat/>
    <w:uiPriority w:val="0"/>
    <w:pPr>
      <w:snapToGrid w:val="0"/>
      <w:spacing w:before="240" w:after="240" w:line="348" w:lineRule="auto"/>
    </w:pPr>
    <w:rPr>
      <w:rFonts w:ascii="Tahoma" w:hAnsi="Tahoma"/>
      <w:bCs w:val="0"/>
      <w:kern w:val="2"/>
      <w:sz w:val="24"/>
      <w:szCs w:val="20"/>
    </w:rPr>
  </w:style>
  <w:style w:type="paragraph" w:styleId="17">
    <w:name w:val="List Paragraph"/>
    <w:basedOn w:val="1"/>
    <w:autoRedefine/>
    <w:qFormat/>
    <w:uiPriority w:val="0"/>
    <w:pPr>
      <w:ind w:firstLine="420" w:firstLineChars="200"/>
    </w:pPr>
    <w:rPr>
      <w:rFonts w:ascii="Calibri" w:hAnsi="Calibri"/>
      <w:szCs w:val="22"/>
    </w:rPr>
  </w:style>
  <w:style w:type="character" w:customStyle="1" w:styleId="18">
    <w:name w:val="font1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1295</Words>
  <Characters>7382</Characters>
  <Lines>61</Lines>
  <Paragraphs>17</Paragraphs>
  <TotalTime>1</TotalTime>
  <ScaleCrop>false</ScaleCrop>
  <LinksUpToDate>false</LinksUpToDate>
  <CharactersWithSpaces>8660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2021-04-09T02:49:00Z</dcterms:created>
  <dc:creator>付志荣</dc:creator>
  <cp:lastModifiedBy>李昂</cp:lastModifiedBy>
  <cp:lastPrinted>2023-03-02T08:43:00Z</cp:lastPrinted>
  <dcterms:modified xsi:type="dcterms:W3CDTF">2024-03-12T06:29:47Z</dcterms:modified>
  <dc:title>机械与车辆工程学院2017年度工作目标责任书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7B9E73D1E9F14EA284DF2865E845C4D5_13</vt:lpwstr>
  </property>
</Properties>
</file>